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0B" w:rsidRDefault="0094740B" w:rsidP="00AF22F5">
      <w:pPr>
        <w:rPr>
          <w:rFonts w:eastAsiaTheme="majorEastAsia"/>
          <w:lang w:eastAsia="en-US"/>
        </w:rPr>
      </w:pPr>
    </w:p>
    <w:p w:rsidR="0071464C" w:rsidRDefault="0071464C" w:rsidP="00AF22F5">
      <w:pPr>
        <w:rPr>
          <w:lang w:eastAsia="en-US"/>
        </w:rPr>
      </w:pPr>
    </w:p>
    <w:p w:rsidR="00FB5BAE" w:rsidRDefault="00FB5BAE" w:rsidP="00AF22F5">
      <w:pPr>
        <w:rPr>
          <w:lang w:eastAsia="en-US"/>
        </w:rPr>
      </w:pPr>
    </w:p>
    <w:p w:rsidR="00987FF5" w:rsidRDefault="00987FF5" w:rsidP="00AF22F5">
      <w:pPr>
        <w:rPr>
          <w:lang w:eastAsia="en-US"/>
        </w:rPr>
      </w:pPr>
    </w:p>
    <w:sdt>
      <w:sdtPr>
        <w:alias w:val="Title"/>
        <w:tag w:val=""/>
        <w:id w:val="1286467738"/>
        <w:placeholder>
          <w:docPart w:val="EBC7EF5F198C4527A786A4EB6A2AAB3F"/>
        </w:placeholder>
        <w:dataBinding w:prefixMappings="xmlns:ns0='http://purl.org/dc/elements/1.1/' xmlns:ns1='http://schemas.openxmlformats.org/package/2006/metadata/core-properties' " w:xpath="/ns1:coreProperties[1]/ns0:title[1]" w:storeItemID="{6C3C8BC8-F283-45AE-878A-BAB7291924A1}"/>
        <w:text/>
      </w:sdtPr>
      <w:sdtEndPr/>
      <w:sdtContent>
        <w:p w:rsidR="00FB5BAE" w:rsidRDefault="00F10D61" w:rsidP="00B468AB">
          <w:pPr>
            <w:pStyle w:val="Entte1"/>
          </w:pPr>
          <w:r>
            <w:t>EPT204 : Analyse du secteur conseil en systèmes et logiciels informatiques (6202A) en France</w:t>
          </w:r>
        </w:p>
      </w:sdtContent>
    </w:sdt>
    <w:p w:rsidR="0071464C" w:rsidRDefault="0071464C" w:rsidP="00AF22F5">
      <w:pPr>
        <w:rPr>
          <w:lang w:eastAsia="en-US"/>
        </w:rPr>
      </w:pPr>
    </w:p>
    <w:p w:rsidR="004A307F" w:rsidRDefault="008409D6" w:rsidP="00B468AB">
      <w:pPr>
        <w:pStyle w:val="Entte1"/>
      </w:pPr>
      <w:r>
        <w:rPr>
          <w:noProof/>
          <w:lang w:eastAsia="fr-FR"/>
        </w:rPr>
        <w:pict>
          <v:rect id="Rectangle 4" o:spid="_x0000_s1026" style="position:absolute;left:0;text-align:left;margin-left:-63pt;margin-top:-52pt;width:1in;height:8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" stroked="f">
            <v:fill color2="#fc0" rotate="t" focus="100%" type="gradient"/>
          </v:rect>
        </w:pict>
      </w:r>
      <w:fldSimple w:instr=" DOCPROPERTY  &quot;Type de Document&quot;  \* MERGEFORMAT ">
        <w:r w:rsidR="00451FCE">
          <w:t xml:space="preserve">Fiche 3 </w:t>
        </w:r>
      </w:fldSimple>
    </w:p>
    <w:p w:rsidR="00FD136A" w:rsidRPr="004A307F" w:rsidRDefault="008409D6" w:rsidP="00B468AB">
      <w:pPr>
        <w:pStyle w:val="Entte1"/>
      </w:pPr>
      <w:r>
        <w:fldChar w:fldCharType="begin"/>
      </w:r>
      <w:r>
        <w:instrText xml:space="preserve"> DOCPROPERTY  Projet  \* MERGEFORMAT </w:instrText>
      </w:r>
      <w:r>
        <w:fldChar w:fldCharType="separate"/>
      </w:r>
      <w:r w:rsidR="00451FCE">
        <w:t xml:space="preserve">Analyse de la segmentation stratégique </w:t>
      </w:r>
      <w:r>
        <w:fldChar w:fldCharType="end"/>
      </w:r>
    </w:p>
    <w:p w:rsidR="000324E5" w:rsidRPr="004D5BCB" w:rsidRDefault="000324E5" w:rsidP="00AF22F5"/>
    <w:p w:rsidR="00A04D49" w:rsidRPr="00CF1510" w:rsidRDefault="000324E5" w:rsidP="00AE52F1">
      <w:pPr>
        <w:pStyle w:val="Heading9"/>
        <w:jc w:val="center"/>
      </w:pPr>
      <w:r w:rsidRPr="00934295">
        <w:t xml:space="preserve">Réalisé par : </w:t>
      </w:r>
      <w:fldSimple w:instr=" AUTHOR   \* MERGEFORMAT ">
        <w:r w:rsidR="00451FCE">
          <w:rPr>
            <w:noProof/>
          </w:rPr>
          <w:t>Mohamed Amine EL AFRIT</w:t>
        </w:r>
      </w:fldSimple>
      <w:r w:rsidR="00E84F4E">
        <w:t xml:space="preserve"> </w:t>
      </w:r>
    </w:p>
    <w:p w:rsidR="00CF1510" w:rsidRDefault="00CF1510" w:rsidP="001967D1">
      <w:pPr>
        <w:pStyle w:val="Heading9"/>
        <w:jc w:val="center"/>
      </w:pPr>
    </w:p>
    <w:p w:rsidR="001967D1" w:rsidRPr="00CF1510" w:rsidRDefault="001967D1" w:rsidP="001967D1">
      <w:pPr>
        <w:pStyle w:val="Heading9"/>
        <w:jc w:val="center"/>
      </w:pPr>
      <w:r>
        <w:t>Encadré</w:t>
      </w:r>
      <w:r w:rsidRPr="00934295">
        <w:t xml:space="preserve"> par : </w:t>
      </w:r>
      <w:r w:rsidR="00CF1510">
        <w:t xml:space="preserve">Professeur Philippe MOATI </w:t>
      </w:r>
    </w:p>
    <w:p w:rsidR="00A04D49" w:rsidRPr="001967D1" w:rsidRDefault="00A04D49" w:rsidP="00A04D49"/>
    <w:p w:rsidR="005961A5" w:rsidRPr="00CF1510" w:rsidRDefault="008409D6" w:rsidP="00B468AB">
      <w:pPr>
        <w:jc w:val="center"/>
      </w:pPr>
      <w:hyperlink r:id="rId9" w:history="1">
        <w:r w:rsidR="00A04D49" w:rsidRPr="00CF1510">
          <w:rPr>
            <w:rStyle w:val="Hyperlink"/>
          </w:rPr>
          <w:t>www.mohamedelafrit.com/ept204</w:t>
        </w:r>
      </w:hyperlink>
    </w:p>
    <w:p w:rsidR="003A6D72" w:rsidRPr="00063FDA" w:rsidRDefault="00A04D49" w:rsidP="005F028E">
      <w:pPr>
        <w:jc w:val="center"/>
      </w:pPr>
      <w:r w:rsidRPr="00063FDA">
        <w:t>M</w:t>
      </w:r>
      <w:r w:rsidR="005F028E">
        <w:t>ai</w:t>
      </w:r>
      <w:r w:rsidR="00B468AB" w:rsidRPr="00063FDA">
        <w:t xml:space="preserve"> 201</w:t>
      </w:r>
      <w:r w:rsidRPr="00063FDA">
        <w:t>6</w:t>
      </w:r>
    </w:p>
    <w:p w:rsidR="00F17615" w:rsidRPr="00063FDA" w:rsidRDefault="00F17615" w:rsidP="009E0D56">
      <w:pPr>
        <w:jc w:val="center"/>
      </w:pPr>
    </w:p>
    <w:p w:rsidR="00063FDA" w:rsidRPr="00F21015" w:rsidRDefault="00063FDA" w:rsidP="00D57DCC">
      <w:pPr>
        <w:pStyle w:val="Titre1Bis"/>
      </w:pPr>
      <w:bookmarkStart w:id="0" w:name="_Toc451133994"/>
      <w:r>
        <w:lastRenderedPageBreak/>
        <w:t>Références</w:t>
      </w:r>
      <w:bookmarkEnd w:id="0"/>
    </w:p>
    <w:p w:rsidR="00E537EF" w:rsidRPr="00F21015" w:rsidRDefault="00E537EF" w:rsidP="00063FDA">
      <w:pPr>
        <w:pStyle w:val="Heading2"/>
        <w:numPr>
          <w:ilvl w:val="0"/>
          <w:numId w:val="0"/>
        </w:numPr>
        <w:ind w:left="578"/>
      </w:pPr>
      <w:bookmarkStart w:id="1" w:name="_Toc451133995"/>
      <w:r w:rsidRPr="00F21015">
        <w:t>Objet</w:t>
      </w:r>
      <w:r>
        <w:t xml:space="preserve"> du document</w:t>
      </w:r>
      <w:bookmarkEnd w:id="1"/>
      <w:r>
        <w:t xml:space="preserve"> </w:t>
      </w:r>
    </w:p>
    <w:p w:rsidR="00E537EF" w:rsidRDefault="00E537EF" w:rsidP="00D2206A">
      <w:r w:rsidRPr="00F21015">
        <w:t>L</w:t>
      </w:r>
      <w:r>
        <w:t>'objectif de c</w:t>
      </w:r>
      <w:r w:rsidRPr="00F21015">
        <w:t>e</w:t>
      </w:r>
      <w:r w:rsidR="00F17615">
        <w:t>tte fiche est d’</w:t>
      </w:r>
      <w:r w:rsidR="002D40AD">
        <w:t>établir</w:t>
      </w:r>
      <w:r w:rsidR="00F17615">
        <w:t xml:space="preserve"> </w:t>
      </w:r>
      <w:r w:rsidR="002D40AD">
        <w:t>une segmentation stratégique des entreprises</w:t>
      </w:r>
      <w:r w:rsidR="00F17615">
        <w:t xml:space="preserve"> du secteur du conseil en systèmes et logiciels informatiques en France (Code NAF 6202A). </w:t>
      </w:r>
      <w:r w:rsidR="002D40AD">
        <w:t>C'est-à-dire de regrouper les entreprises ayants des stratégies</w:t>
      </w:r>
      <w:r w:rsidR="009F4999">
        <w:t xml:space="preserve"> </w:t>
      </w:r>
      <w:r w:rsidR="002D40AD">
        <w:t xml:space="preserve">proches. </w:t>
      </w:r>
    </w:p>
    <w:p w:rsidR="00E537EF" w:rsidRDefault="00E537EF" w:rsidP="00AF22F5"/>
    <w:p w:rsidR="00E537EF" w:rsidRDefault="007E2E68" w:rsidP="00063FDA">
      <w:pPr>
        <w:pStyle w:val="Heading2"/>
        <w:numPr>
          <w:ilvl w:val="0"/>
          <w:numId w:val="0"/>
        </w:numPr>
        <w:ind w:left="578"/>
      </w:pPr>
      <w:bookmarkStart w:id="2" w:name="_Toc451133996"/>
      <w:r>
        <w:t xml:space="preserve">Donnée </w:t>
      </w:r>
      <w:r w:rsidR="00253E71">
        <w:t>analys</w:t>
      </w:r>
      <w:r>
        <w:t>ées</w:t>
      </w:r>
      <w:bookmarkEnd w:id="2"/>
      <w:r>
        <w:t xml:space="preserve"> </w:t>
      </w:r>
    </w:p>
    <w:p w:rsidR="009E6B17" w:rsidRDefault="00A04D49" w:rsidP="00D05F42">
      <w:r>
        <w:t>La base de données utilisée pour réaliser cette étude est constitu</w:t>
      </w:r>
      <w:r w:rsidR="009E6B17">
        <w:t>ée à partir de plusieurs sources</w:t>
      </w:r>
      <w:r w:rsidR="007E2E68">
        <w:t xml:space="preserve"> comme </w:t>
      </w:r>
      <w:r w:rsidR="009B6199">
        <w:t xml:space="preserve">l’INSEE, </w:t>
      </w:r>
      <w:proofErr w:type="spellStart"/>
      <w:r w:rsidR="009B6199">
        <w:t>Xerfi</w:t>
      </w:r>
      <w:proofErr w:type="spellEnd"/>
      <w:r w:rsidR="009B6199">
        <w:t>, Diane, Business Source Complete</w:t>
      </w:r>
      <w:r w:rsidR="007E2E68">
        <w:t>,</w:t>
      </w:r>
      <w:r w:rsidR="002D40AD">
        <w:t xml:space="preserve"> la presse spécialisée du secteur, des cabinets d</w:t>
      </w:r>
      <w:bookmarkStart w:id="3" w:name="_GoBack"/>
      <w:bookmarkEnd w:id="3"/>
      <w:r w:rsidR="002D40AD">
        <w:t>’études spécialisés dans les technologies de l’information,</w:t>
      </w:r>
      <w:r w:rsidR="007E2E68">
        <w:t xml:space="preserve"> </w:t>
      </w:r>
      <w:r w:rsidR="002D40AD">
        <w:t>d</w:t>
      </w:r>
      <w:r w:rsidR="007E2E68">
        <w:t>es r</w:t>
      </w:r>
      <w:r w:rsidR="009E6B17">
        <w:t xml:space="preserve">apports de gestion </w:t>
      </w:r>
      <w:r w:rsidR="007E2E68">
        <w:t>de certains groupes</w:t>
      </w:r>
      <w:r w:rsidR="00D05F42">
        <w:t xml:space="preserve"> et des sites web de certaines entreprises</w:t>
      </w:r>
      <w:r w:rsidR="007E2E68">
        <w:t xml:space="preserve">, etc. </w:t>
      </w:r>
    </w:p>
    <w:p w:rsidR="00D05F42" w:rsidRDefault="00D05F42" w:rsidP="00141989">
      <w:r>
        <w:t xml:space="preserve">Voici les caractéristiques de l’échantillon étudié : </w:t>
      </w:r>
    </w:p>
    <w:p w:rsidR="00D05F42" w:rsidRDefault="00D05F42" w:rsidP="00D05F42">
      <w:pPr>
        <w:jc w:val="center"/>
      </w:pPr>
      <w:r>
        <w:rPr>
          <w:noProof/>
        </w:rPr>
        <w:drawing>
          <wp:inline distT="0" distB="0" distL="0" distR="0" wp14:anchorId="034E8B7B" wp14:editId="7749A4C1">
            <wp:extent cx="3057525" cy="11811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7525" cy="1181100"/>
                    </a:xfrm>
                    <a:prstGeom prst="rect">
                      <a:avLst/>
                    </a:prstGeom>
                  </pic:spPr>
                </pic:pic>
              </a:graphicData>
            </a:graphic>
          </wp:inline>
        </w:drawing>
      </w:r>
    </w:p>
    <w:p w:rsidR="00063FDA" w:rsidRDefault="00063FDA" w:rsidP="00AF22F5"/>
    <w:p w:rsidR="00063FDA" w:rsidRDefault="00063FDA" w:rsidP="00605096">
      <w:pPr>
        <w:pStyle w:val="Heading2"/>
        <w:numPr>
          <w:ilvl w:val="0"/>
          <w:numId w:val="0"/>
        </w:numPr>
        <w:ind w:left="578"/>
      </w:pPr>
      <w:bookmarkStart w:id="4" w:name="_Toc451133997"/>
      <w:r>
        <w:t>Méthode</w:t>
      </w:r>
      <w:bookmarkEnd w:id="4"/>
      <w:r w:rsidR="002239B5">
        <w:t xml:space="preserve"> </w:t>
      </w:r>
    </w:p>
    <w:p w:rsidR="002239B5" w:rsidRDefault="00063FDA" w:rsidP="00605096">
      <w:r w:rsidRPr="002D40AD">
        <w:t xml:space="preserve">On s’intéresse dans cette fiche à la </w:t>
      </w:r>
      <w:r w:rsidR="0067661F">
        <w:t>segmentation stratégique en se basant sur la mé</w:t>
      </w:r>
      <w:r w:rsidR="00605096">
        <w:t xml:space="preserve">thode des stratégies génériques. Nous avons commencé aussi avec </w:t>
      </w:r>
      <w:r w:rsidR="0067661F">
        <w:t xml:space="preserve">la méthode des modalités de concurrence </w:t>
      </w:r>
      <w:r w:rsidR="00605096">
        <w:t>mais pour la terminer, il est nécessaire de continuer à analyser</w:t>
      </w:r>
      <w:r w:rsidRPr="002D40AD">
        <w:t xml:space="preserve">. </w:t>
      </w:r>
    </w:p>
    <w:p w:rsidR="005F028E" w:rsidRDefault="005F028E" w:rsidP="00063FDA">
      <w:pPr>
        <w:ind w:left="0"/>
      </w:pPr>
    </w:p>
    <w:p w:rsidR="00CA5373" w:rsidRDefault="00CA5373" w:rsidP="00063FDA">
      <w:pPr>
        <w:pStyle w:val="Heading2"/>
        <w:numPr>
          <w:ilvl w:val="0"/>
          <w:numId w:val="0"/>
        </w:numPr>
        <w:ind w:left="578"/>
      </w:pPr>
      <w:bookmarkStart w:id="5" w:name="_Toc451133998"/>
      <w:r>
        <w:t>Bibliographie</w:t>
      </w:r>
      <w:bookmarkEnd w:id="5"/>
      <w:r>
        <w:t xml:space="preserve"> </w:t>
      </w:r>
    </w:p>
    <w:p w:rsidR="00CA5373" w:rsidRDefault="007E2E68" w:rsidP="00347A3B">
      <w:r>
        <w:t>Ce document, l</w:t>
      </w:r>
      <w:r w:rsidR="00CA5373">
        <w:t>a bibliographie détaillée</w:t>
      </w:r>
      <w:r w:rsidR="00347A3B">
        <w:t xml:space="preserve"> et les données utilisées pour cette étude sont</w:t>
      </w:r>
      <w:r w:rsidR="00CA5373">
        <w:t xml:space="preserve"> à l’adresse suivante : </w:t>
      </w:r>
      <w:hyperlink r:id="rId11" w:history="1">
        <w:r w:rsidR="00CA5373" w:rsidRPr="00403F14">
          <w:rPr>
            <w:rStyle w:val="Hyperlink"/>
          </w:rPr>
          <w:t>http://www.mohamedelafrit.com/ept204</w:t>
        </w:r>
      </w:hyperlink>
      <w:r w:rsidR="00CA5373">
        <w:t xml:space="preserve"> </w:t>
      </w:r>
    </w:p>
    <w:p w:rsidR="00CA5373" w:rsidRDefault="00CA5373" w:rsidP="00AF22F5"/>
    <w:p w:rsidR="00E72D29" w:rsidRPr="00F21015" w:rsidRDefault="00EC346F" w:rsidP="00D57DCC">
      <w:pPr>
        <w:pStyle w:val="Titre1Bis"/>
      </w:pPr>
      <w:bookmarkStart w:id="6" w:name="_Toc451133999"/>
      <w:r w:rsidRPr="00F21015">
        <w:lastRenderedPageBreak/>
        <w:t>S</w:t>
      </w:r>
      <w:r w:rsidR="0075241D" w:rsidRPr="00F21015">
        <w:t>ommaire</w:t>
      </w:r>
      <w:bookmarkEnd w:id="6"/>
    </w:p>
    <w:p w:rsidR="003541D5" w:rsidRDefault="00F90D31">
      <w:pPr>
        <w:pStyle w:val="TOC1"/>
        <w:rPr>
          <w:rFonts w:asciiTheme="minorHAnsi" w:eastAsiaTheme="minorEastAsia" w:hAnsiTheme="minorHAnsi" w:cstheme="minorBidi"/>
          <w:noProof/>
          <w:szCs w:val="22"/>
        </w:rPr>
      </w:pPr>
      <w:r w:rsidRPr="00605096">
        <w:rPr>
          <w:sz w:val="14"/>
          <w:szCs w:val="12"/>
        </w:rPr>
        <w:fldChar w:fldCharType="begin"/>
      </w:r>
      <w:r w:rsidR="00EC346F" w:rsidRPr="00605096">
        <w:rPr>
          <w:sz w:val="14"/>
          <w:szCs w:val="12"/>
        </w:rPr>
        <w:instrText xml:space="preserve"> TOC \o "1-4" \h \z \u </w:instrText>
      </w:r>
      <w:r w:rsidRPr="00605096">
        <w:rPr>
          <w:sz w:val="14"/>
          <w:szCs w:val="12"/>
        </w:rPr>
        <w:fldChar w:fldCharType="separate"/>
      </w:r>
      <w:hyperlink w:anchor="_Toc451133994" w:history="1">
        <w:r w:rsidR="003541D5" w:rsidRPr="00557971">
          <w:rPr>
            <w:rStyle w:val="Hyperlink"/>
            <w:noProof/>
          </w:rPr>
          <w:t>Références</w:t>
        </w:r>
        <w:r w:rsidR="003541D5">
          <w:rPr>
            <w:noProof/>
            <w:webHidden/>
          </w:rPr>
          <w:tab/>
        </w:r>
        <w:r w:rsidR="003541D5">
          <w:rPr>
            <w:noProof/>
            <w:webHidden/>
          </w:rPr>
          <w:fldChar w:fldCharType="begin"/>
        </w:r>
        <w:r w:rsidR="003541D5">
          <w:rPr>
            <w:noProof/>
            <w:webHidden/>
          </w:rPr>
          <w:instrText xml:space="preserve"> PAGEREF _Toc451133994 \h </w:instrText>
        </w:r>
        <w:r w:rsidR="003541D5">
          <w:rPr>
            <w:noProof/>
            <w:webHidden/>
          </w:rPr>
        </w:r>
        <w:r w:rsidR="003541D5">
          <w:rPr>
            <w:noProof/>
            <w:webHidden/>
          </w:rPr>
          <w:fldChar w:fldCharType="separate"/>
        </w:r>
        <w:r w:rsidR="003B30F2">
          <w:rPr>
            <w:noProof/>
            <w:webHidden/>
          </w:rPr>
          <w:t>2</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3995" w:history="1">
        <w:r w:rsidR="003541D5" w:rsidRPr="00557971">
          <w:rPr>
            <w:rStyle w:val="Hyperlink"/>
            <w:noProof/>
          </w:rPr>
          <w:t>Objet du document</w:t>
        </w:r>
        <w:r w:rsidR="003541D5">
          <w:rPr>
            <w:noProof/>
            <w:webHidden/>
          </w:rPr>
          <w:tab/>
        </w:r>
        <w:r w:rsidR="003541D5">
          <w:rPr>
            <w:noProof/>
            <w:webHidden/>
          </w:rPr>
          <w:fldChar w:fldCharType="begin"/>
        </w:r>
        <w:r w:rsidR="003541D5">
          <w:rPr>
            <w:noProof/>
            <w:webHidden/>
          </w:rPr>
          <w:instrText xml:space="preserve"> PAGEREF _Toc451133995 \h </w:instrText>
        </w:r>
        <w:r w:rsidR="003541D5">
          <w:rPr>
            <w:noProof/>
            <w:webHidden/>
          </w:rPr>
        </w:r>
        <w:r w:rsidR="003541D5">
          <w:rPr>
            <w:noProof/>
            <w:webHidden/>
          </w:rPr>
          <w:fldChar w:fldCharType="separate"/>
        </w:r>
        <w:r w:rsidR="003B30F2">
          <w:rPr>
            <w:noProof/>
            <w:webHidden/>
          </w:rPr>
          <w:t>2</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3996" w:history="1">
        <w:r w:rsidR="003541D5" w:rsidRPr="00557971">
          <w:rPr>
            <w:rStyle w:val="Hyperlink"/>
            <w:noProof/>
          </w:rPr>
          <w:t>Donnée analysées</w:t>
        </w:r>
        <w:r w:rsidR="003541D5">
          <w:rPr>
            <w:noProof/>
            <w:webHidden/>
          </w:rPr>
          <w:tab/>
        </w:r>
        <w:r w:rsidR="003541D5">
          <w:rPr>
            <w:noProof/>
            <w:webHidden/>
          </w:rPr>
          <w:fldChar w:fldCharType="begin"/>
        </w:r>
        <w:r w:rsidR="003541D5">
          <w:rPr>
            <w:noProof/>
            <w:webHidden/>
          </w:rPr>
          <w:instrText xml:space="preserve"> PAGEREF _Toc451133996 \h </w:instrText>
        </w:r>
        <w:r w:rsidR="003541D5">
          <w:rPr>
            <w:noProof/>
            <w:webHidden/>
          </w:rPr>
        </w:r>
        <w:r w:rsidR="003541D5">
          <w:rPr>
            <w:noProof/>
            <w:webHidden/>
          </w:rPr>
          <w:fldChar w:fldCharType="separate"/>
        </w:r>
        <w:r w:rsidR="003B30F2">
          <w:rPr>
            <w:noProof/>
            <w:webHidden/>
          </w:rPr>
          <w:t>2</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3997" w:history="1">
        <w:r w:rsidR="003541D5" w:rsidRPr="00557971">
          <w:rPr>
            <w:rStyle w:val="Hyperlink"/>
            <w:noProof/>
          </w:rPr>
          <w:t>Méthode</w:t>
        </w:r>
        <w:r w:rsidR="003541D5">
          <w:rPr>
            <w:noProof/>
            <w:webHidden/>
          </w:rPr>
          <w:tab/>
        </w:r>
        <w:r w:rsidR="003541D5">
          <w:rPr>
            <w:noProof/>
            <w:webHidden/>
          </w:rPr>
          <w:fldChar w:fldCharType="begin"/>
        </w:r>
        <w:r w:rsidR="003541D5">
          <w:rPr>
            <w:noProof/>
            <w:webHidden/>
          </w:rPr>
          <w:instrText xml:space="preserve"> PAGEREF _Toc451133997 \h </w:instrText>
        </w:r>
        <w:r w:rsidR="003541D5">
          <w:rPr>
            <w:noProof/>
            <w:webHidden/>
          </w:rPr>
        </w:r>
        <w:r w:rsidR="003541D5">
          <w:rPr>
            <w:noProof/>
            <w:webHidden/>
          </w:rPr>
          <w:fldChar w:fldCharType="separate"/>
        </w:r>
        <w:r w:rsidR="003B30F2">
          <w:rPr>
            <w:noProof/>
            <w:webHidden/>
          </w:rPr>
          <w:t>2</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3998" w:history="1">
        <w:r w:rsidR="003541D5" w:rsidRPr="00557971">
          <w:rPr>
            <w:rStyle w:val="Hyperlink"/>
            <w:noProof/>
          </w:rPr>
          <w:t>Bibliographie</w:t>
        </w:r>
        <w:r w:rsidR="003541D5">
          <w:rPr>
            <w:noProof/>
            <w:webHidden/>
          </w:rPr>
          <w:tab/>
        </w:r>
        <w:r w:rsidR="003541D5">
          <w:rPr>
            <w:noProof/>
            <w:webHidden/>
          </w:rPr>
          <w:fldChar w:fldCharType="begin"/>
        </w:r>
        <w:r w:rsidR="003541D5">
          <w:rPr>
            <w:noProof/>
            <w:webHidden/>
          </w:rPr>
          <w:instrText xml:space="preserve"> PAGEREF _Toc451133998 \h </w:instrText>
        </w:r>
        <w:r w:rsidR="003541D5">
          <w:rPr>
            <w:noProof/>
            <w:webHidden/>
          </w:rPr>
        </w:r>
        <w:r w:rsidR="003541D5">
          <w:rPr>
            <w:noProof/>
            <w:webHidden/>
          </w:rPr>
          <w:fldChar w:fldCharType="separate"/>
        </w:r>
        <w:r w:rsidR="003B30F2">
          <w:rPr>
            <w:noProof/>
            <w:webHidden/>
          </w:rPr>
          <w:t>2</w:t>
        </w:r>
        <w:r w:rsidR="003541D5">
          <w:rPr>
            <w:noProof/>
            <w:webHidden/>
          </w:rPr>
          <w:fldChar w:fldCharType="end"/>
        </w:r>
      </w:hyperlink>
    </w:p>
    <w:p w:rsidR="003541D5" w:rsidRDefault="008409D6">
      <w:pPr>
        <w:pStyle w:val="TOC1"/>
        <w:rPr>
          <w:rFonts w:asciiTheme="minorHAnsi" w:eastAsiaTheme="minorEastAsia" w:hAnsiTheme="minorHAnsi" w:cstheme="minorBidi"/>
          <w:noProof/>
          <w:szCs w:val="22"/>
        </w:rPr>
      </w:pPr>
      <w:hyperlink w:anchor="_Toc451133999" w:history="1">
        <w:r w:rsidR="003541D5" w:rsidRPr="00557971">
          <w:rPr>
            <w:rStyle w:val="Hyperlink"/>
            <w:noProof/>
          </w:rPr>
          <w:t>Sommaire</w:t>
        </w:r>
        <w:r w:rsidR="003541D5">
          <w:rPr>
            <w:noProof/>
            <w:webHidden/>
          </w:rPr>
          <w:tab/>
        </w:r>
        <w:r w:rsidR="003541D5">
          <w:rPr>
            <w:noProof/>
            <w:webHidden/>
          </w:rPr>
          <w:fldChar w:fldCharType="begin"/>
        </w:r>
        <w:r w:rsidR="003541D5">
          <w:rPr>
            <w:noProof/>
            <w:webHidden/>
          </w:rPr>
          <w:instrText xml:space="preserve"> PAGEREF _Toc451133999 \h </w:instrText>
        </w:r>
        <w:r w:rsidR="003541D5">
          <w:rPr>
            <w:noProof/>
            <w:webHidden/>
          </w:rPr>
        </w:r>
        <w:r w:rsidR="003541D5">
          <w:rPr>
            <w:noProof/>
            <w:webHidden/>
          </w:rPr>
          <w:fldChar w:fldCharType="separate"/>
        </w:r>
        <w:r w:rsidR="003B30F2">
          <w:rPr>
            <w:noProof/>
            <w:webHidden/>
          </w:rPr>
          <w:t>3</w:t>
        </w:r>
        <w:r w:rsidR="003541D5">
          <w:rPr>
            <w:noProof/>
            <w:webHidden/>
          </w:rPr>
          <w:fldChar w:fldCharType="end"/>
        </w:r>
      </w:hyperlink>
    </w:p>
    <w:p w:rsidR="003541D5" w:rsidRDefault="008409D6">
      <w:pPr>
        <w:pStyle w:val="TOC1"/>
        <w:rPr>
          <w:rFonts w:asciiTheme="minorHAnsi" w:eastAsiaTheme="minorEastAsia" w:hAnsiTheme="minorHAnsi" w:cstheme="minorBidi"/>
          <w:noProof/>
          <w:szCs w:val="22"/>
        </w:rPr>
      </w:pPr>
      <w:hyperlink w:anchor="_Toc451134000" w:history="1">
        <w:r w:rsidR="003541D5" w:rsidRPr="00557971">
          <w:rPr>
            <w:rStyle w:val="Hyperlink"/>
            <w:noProof/>
          </w:rPr>
          <w:t>1</w:t>
        </w:r>
        <w:r w:rsidR="003541D5">
          <w:rPr>
            <w:rFonts w:asciiTheme="minorHAnsi" w:eastAsiaTheme="minorEastAsia" w:hAnsiTheme="minorHAnsi" w:cstheme="minorBidi"/>
            <w:noProof/>
            <w:szCs w:val="22"/>
          </w:rPr>
          <w:tab/>
        </w:r>
        <w:r w:rsidR="003541D5" w:rsidRPr="00557971">
          <w:rPr>
            <w:rStyle w:val="Hyperlink"/>
            <w:noProof/>
          </w:rPr>
          <w:t>Résumé Executif</w:t>
        </w:r>
        <w:r w:rsidR="003541D5">
          <w:rPr>
            <w:noProof/>
            <w:webHidden/>
          </w:rPr>
          <w:tab/>
        </w:r>
        <w:r w:rsidR="003541D5">
          <w:rPr>
            <w:noProof/>
            <w:webHidden/>
          </w:rPr>
          <w:fldChar w:fldCharType="begin"/>
        </w:r>
        <w:r w:rsidR="003541D5">
          <w:rPr>
            <w:noProof/>
            <w:webHidden/>
          </w:rPr>
          <w:instrText xml:space="preserve"> PAGEREF _Toc451134000 \h </w:instrText>
        </w:r>
        <w:r w:rsidR="003541D5">
          <w:rPr>
            <w:noProof/>
            <w:webHidden/>
          </w:rPr>
        </w:r>
        <w:r w:rsidR="003541D5">
          <w:rPr>
            <w:noProof/>
            <w:webHidden/>
          </w:rPr>
          <w:fldChar w:fldCharType="separate"/>
        </w:r>
        <w:r w:rsidR="003B30F2">
          <w:rPr>
            <w:noProof/>
            <w:webHidden/>
          </w:rPr>
          <w:t>4</w:t>
        </w:r>
        <w:r w:rsidR="003541D5">
          <w:rPr>
            <w:noProof/>
            <w:webHidden/>
          </w:rPr>
          <w:fldChar w:fldCharType="end"/>
        </w:r>
      </w:hyperlink>
    </w:p>
    <w:p w:rsidR="003541D5" w:rsidRDefault="008409D6">
      <w:pPr>
        <w:pStyle w:val="TOC1"/>
        <w:rPr>
          <w:rFonts w:asciiTheme="minorHAnsi" w:eastAsiaTheme="minorEastAsia" w:hAnsiTheme="minorHAnsi" w:cstheme="minorBidi"/>
          <w:noProof/>
          <w:szCs w:val="22"/>
        </w:rPr>
      </w:pPr>
      <w:hyperlink w:anchor="_Toc451134001" w:history="1">
        <w:r w:rsidR="003541D5" w:rsidRPr="00557971">
          <w:rPr>
            <w:rStyle w:val="Hyperlink"/>
            <w:noProof/>
          </w:rPr>
          <w:t>2</w:t>
        </w:r>
        <w:r w:rsidR="003541D5">
          <w:rPr>
            <w:rFonts w:asciiTheme="minorHAnsi" w:eastAsiaTheme="minorEastAsia" w:hAnsiTheme="minorHAnsi" w:cstheme="minorBidi"/>
            <w:noProof/>
            <w:szCs w:val="22"/>
          </w:rPr>
          <w:tab/>
        </w:r>
        <w:r w:rsidR="003541D5" w:rsidRPr="00557971">
          <w:rPr>
            <w:rStyle w:val="Hyperlink"/>
            <w:noProof/>
          </w:rPr>
          <w:t>Les espaces stratégiques</w:t>
        </w:r>
        <w:r w:rsidR="003541D5">
          <w:rPr>
            <w:noProof/>
            <w:webHidden/>
          </w:rPr>
          <w:tab/>
        </w:r>
        <w:r w:rsidR="003541D5">
          <w:rPr>
            <w:noProof/>
            <w:webHidden/>
          </w:rPr>
          <w:fldChar w:fldCharType="begin"/>
        </w:r>
        <w:r w:rsidR="003541D5">
          <w:rPr>
            <w:noProof/>
            <w:webHidden/>
          </w:rPr>
          <w:instrText xml:space="preserve"> PAGEREF _Toc451134001 \h </w:instrText>
        </w:r>
        <w:r w:rsidR="003541D5">
          <w:rPr>
            <w:noProof/>
            <w:webHidden/>
          </w:rPr>
        </w:r>
        <w:r w:rsidR="003541D5">
          <w:rPr>
            <w:noProof/>
            <w:webHidden/>
          </w:rPr>
          <w:fldChar w:fldCharType="separate"/>
        </w:r>
        <w:r w:rsidR="003B30F2">
          <w:rPr>
            <w:noProof/>
            <w:webHidden/>
          </w:rPr>
          <w:t>8</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4002" w:history="1">
        <w:r w:rsidR="003541D5" w:rsidRPr="00557971">
          <w:rPr>
            <w:rStyle w:val="Hyperlink"/>
            <w:noProof/>
          </w:rPr>
          <w:t>2.1</w:t>
        </w:r>
        <w:r w:rsidR="003541D5">
          <w:rPr>
            <w:rFonts w:asciiTheme="minorHAnsi" w:eastAsiaTheme="minorEastAsia" w:hAnsiTheme="minorHAnsi" w:cstheme="minorBidi"/>
            <w:noProof/>
            <w:szCs w:val="22"/>
          </w:rPr>
          <w:tab/>
        </w:r>
        <w:r w:rsidR="003541D5" w:rsidRPr="00557971">
          <w:rPr>
            <w:rStyle w:val="Hyperlink"/>
            <w:noProof/>
          </w:rPr>
          <w:t>Méthode des modalités de concurrences</w:t>
        </w:r>
        <w:r w:rsidR="003541D5">
          <w:rPr>
            <w:noProof/>
            <w:webHidden/>
          </w:rPr>
          <w:tab/>
        </w:r>
        <w:r w:rsidR="003541D5">
          <w:rPr>
            <w:noProof/>
            <w:webHidden/>
          </w:rPr>
          <w:fldChar w:fldCharType="begin"/>
        </w:r>
        <w:r w:rsidR="003541D5">
          <w:rPr>
            <w:noProof/>
            <w:webHidden/>
          </w:rPr>
          <w:instrText xml:space="preserve"> PAGEREF _Toc451134002 \h </w:instrText>
        </w:r>
        <w:r w:rsidR="003541D5">
          <w:rPr>
            <w:noProof/>
            <w:webHidden/>
          </w:rPr>
        </w:r>
        <w:r w:rsidR="003541D5">
          <w:rPr>
            <w:noProof/>
            <w:webHidden/>
          </w:rPr>
          <w:fldChar w:fldCharType="separate"/>
        </w:r>
        <w:r w:rsidR="003B30F2">
          <w:rPr>
            <w:noProof/>
            <w:webHidden/>
          </w:rPr>
          <w:t>8</w:t>
        </w:r>
        <w:r w:rsidR="003541D5">
          <w:rPr>
            <w:noProof/>
            <w:webHidden/>
          </w:rPr>
          <w:fldChar w:fldCharType="end"/>
        </w:r>
      </w:hyperlink>
    </w:p>
    <w:p w:rsidR="003541D5" w:rsidRDefault="008409D6" w:rsidP="003541D5">
      <w:pPr>
        <w:pStyle w:val="TOC3"/>
        <w:ind w:right="-1559"/>
        <w:rPr>
          <w:rFonts w:asciiTheme="minorHAnsi" w:eastAsiaTheme="minorEastAsia" w:hAnsiTheme="minorHAnsi" w:cstheme="minorBidi"/>
          <w:noProof/>
          <w:szCs w:val="22"/>
        </w:rPr>
      </w:pPr>
      <w:hyperlink w:anchor="_Toc451134003" w:history="1">
        <w:r w:rsidR="003541D5" w:rsidRPr="00557971">
          <w:rPr>
            <w:rStyle w:val="Hyperlink"/>
            <w:noProof/>
          </w:rPr>
          <w:t>2.1.1</w:t>
        </w:r>
        <w:r w:rsidR="003541D5">
          <w:rPr>
            <w:rFonts w:asciiTheme="minorHAnsi" w:eastAsiaTheme="minorEastAsia" w:hAnsiTheme="minorHAnsi" w:cstheme="minorBidi"/>
            <w:noProof/>
            <w:szCs w:val="22"/>
          </w:rPr>
          <w:tab/>
        </w:r>
        <w:r w:rsidR="003541D5" w:rsidRPr="00557971">
          <w:rPr>
            <w:rStyle w:val="Hyperlink"/>
            <w:noProof/>
          </w:rPr>
          <w:t>Analyse des prix des prestations de service</w:t>
        </w:r>
        <w:r w:rsidR="003541D5">
          <w:rPr>
            <w:noProof/>
            <w:webHidden/>
          </w:rPr>
          <w:tab/>
        </w:r>
        <w:r w:rsidR="003541D5">
          <w:rPr>
            <w:noProof/>
            <w:webHidden/>
          </w:rPr>
          <w:fldChar w:fldCharType="begin"/>
        </w:r>
        <w:r w:rsidR="003541D5">
          <w:rPr>
            <w:noProof/>
            <w:webHidden/>
          </w:rPr>
          <w:instrText xml:space="preserve"> PAGEREF _Toc451134003 \h </w:instrText>
        </w:r>
        <w:r w:rsidR="003541D5">
          <w:rPr>
            <w:noProof/>
            <w:webHidden/>
          </w:rPr>
        </w:r>
        <w:r w:rsidR="003541D5">
          <w:rPr>
            <w:noProof/>
            <w:webHidden/>
          </w:rPr>
          <w:fldChar w:fldCharType="separate"/>
        </w:r>
        <w:r w:rsidR="003B30F2">
          <w:rPr>
            <w:noProof/>
            <w:webHidden/>
          </w:rPr>
          <w:t>8</w:t>
        </w:r>
        <w:r w:rsidR="003541D5">
          <w:rPr>
            <w:noProof/>
            <w:webHidden/>
          </w:rPr>
          <w:fldChar w:fldCharType="end"/>
        </w:r>
      </w:hyperlink>
    </w:p>
    <w:p w:rsidR="003541D5" w:rsidRDefault="008409D6" w:rsidP="003541D5">
      <w:pPr>
        <w:pStyle w:val="TOC3"/>
        <w:ind w:right="-1559"/>
        <w:rPr>
          <w:rFonts w:asciiTheme="minorHAnsi" w:eastAsiaTheme="minorEastAsia" w:hAnsiTheme="minorHAnsi" w:cstheme="minorBidi"/>
          <w:noProof/>
          <w:szCs w:val="22"/>
        </w:rPr>
      </w:pPr>
      <w:hyperlink w:anchor="_Toc451134004" w:history="1">
        <w:r w:rsidR="003541D5" w:rsidRPr="00557971">
          <w:rPr>
            <w:rStyle w:val="Hyperlink"/>
            <w:noProof/>
          </w:rPr>
          <w:t>2.1.2</w:t>
        </w:r>
        <w:r w:rsidR="003541D5">
          <w:rPr>
            <w:rFonts w:asciiTheme="minorHAnsi" w:eastAsiaTheme="minorEastAsia" w:hAnsiTheme="minorHAnsi" w:cstheme="minorBidi"/>
            <w:noProof/>
            <w:szCs w:val="22"/>
          </w:rPr>
          <w:tab/>
        </w:r>
        <w:r w:rsidR="003541D5" w:rsidRPr="00557971">
          <w:rPr>
            <w:rStyle w:val="Hyperlink"/>
            <w:noProof/>
          </w:rPr>
          <w:t>La différenciation horizontale (réputation et double compétence des consultants)</w:t>
        </w:r>
        <w:r w:rsidR="003541D5">
          <w:rPr>
            <w:noProof/>
            <w:webHidden/>
          </w:rPr>
          <w:tab/>
        </w:r>
        <w:r w:rsidR="003541D5">
          <w:rPr>
            <w:noProof/>
            <w:webHidden/>
          </w:rPr>
          <w:fldChar w:fldCharType="begin"/>
        </w:r>
        <w:r w:rsidR="003541D5">
          <w:rPr>
            <w:noProof/>
            <w:webHidden/>
          </w:rPr>
          <w:instrText xml:space="preserve"> PAGEREF _Toc451134004 \h </w:instrText>
        </w:r>
        <w:r w:rsidR="003541D5">
          <w:rPr>
            <w:noProof/>
            <w:webHidden/>
          </w:rPr>
        </w:r>
        <w:r w:rsidR="003541D5">
          <w:rPr>
            <w:noProof/>
            <w:webHidden/>
          </w:rPr>
          <w:fldChar w:fldCharType="separate"/>
        </w:r>
        <w:r w:rsidR="003B30F2">
          <w:rPr>
            <w:noProof/>
            <w:webHidden/>
          </w:rPr>
          <w:t>9</w:t>
        </w:r>
        <w:r w:rsidR="003541D5">
          <w:rPr>
            <w:noProof/>
            <w:webHidden/>
          </w:rPr>
          <w:fldChar w:fldCharType="end"/>
        </w:r>
      </w:hyperlink>
    </w:p>
    <w:p w:rsidR="003541D5" w:rsidRDefault="008409D6" w:rsidP="003541D5">
      <w:pPr>
        <w:pStyle w:val="TOC3"/>
        <w:ind w:right="-1559"/>
        <w:rPr>
          <w:rFonts w:asciiTheme="minorHAnsi" w:eastAsiaTheme="minorEastAsia" w:hAnsiTheme="minorHAnsi" w:cstheme="minorBidi"/>
          <w:noProof/>
          <w:szCs w:val="22"/>
        </w:rPr>
      </w:pPr>
      <w:hyperlink w:anchor="_Toc451134005" w:history="1">
        <w:r w:rsidR="003541D5" w:rsidRPr="00557971">
          <w:rPr>
            <w:rStyle w:val="Hyperlink"/>
            <w:noProof/>
          </w:rPr>
          <w:t>2.1.3</w:t>
        </w:r>
        <w:r w:rsidR="003541D5">
          <w:rPr>
            <w:rFonts w:asciiTheme="minorHAnsi" w:eastAsiaTheme="minorEastAsia" w:hAnsiTheme="minorHAnsi" w:cstheme="minorBidi"/>
            <w:noProof/>
            <w:szCs w:val="22"/>
          </w:rPr>
          <w:tab/>
        </w:r>
        <w:r w:rsidR="003541D5" w:rsidRPr="00557971">
          <w:rPr>
            <w:rStyle w:val="Hyperlink"/>
            <w:noProof/>
          </w:rPr>
          <w:t>La différenciation verticale (l’expertise des consultants)</w:t>
        </w:r>
        <w:r w:rsidR="003541D5">
          <w:rPr>
            <w:noProof/>
            <w:webHidden/>
          </w:rPr>
          <w:tab/>
        </w:r>
        <w:r w:rsidR="003541D5">
          <w:rPr>
            <w:noProof/>
            <w:webHidden/>
          </w:rPr>
          <w:fldChar w:fldCharType="begin"/>
        </w:r>
        <w:r w:rsidR="003541D5">
          <w:rPr>
            <w:noProof/>
            <w:webHidden/>
          </w:rPr>
          <w:instrText xml:space="preserve"> PAGEREF _Toc451134005 \h </w:instrText>
        </w:r>
        <w:r w:rsidR="003541D5">
          <w:rPr>
            <w:noProof/>
            <w:webHidden/>
          </w:rPr>
        </w:r>
        <w:r w:rsidR="003541D5">
          <w:rPr>
            <w:noProof/>
            <w:webHidden/>
          </w:rPr>
          <w:fldChar w:fldCharType="separate"/>
        </w:r>
        <w:r w:rsidR="003B30F2">
          <w:rPr>
            <w:noProof/>
            <w:webHidden/>
          </w:rPr>
          <w:t>9</w:t>
        </w:r>
        <w:r w:rsidR="003541D5">
          <w:rPr>
            <w:noProof/>
            <w:webHidden/>
          </w:rPr>
          <w:fldChar w:fldCharType="end"/>
        </w:r>
      </w:hyperlink>
    </w:p>
    <w:p w:rsidR="003541D5" w:rsidRDefault="008409D6" w:rsidP="003541D5">
      <w:pPr>
        <w:pStyle w:val="TOC3"/>
        <w:ind w:right="-1559"/>
        <w:rPr>
          <w:rFonts w:asciiTheme="minorHAnsi" w:eastAsiaTheme="minorEastAsia" w:hAnsiTheme="minorHAnsi" w:cstheme="minorBidi"/>
          <w:noProof/>
          <w:szCs w:val="22"/>
        </w:rPr>
      </w:pPr>
      <w:hyperlink w:anchor="_Toc451134006" w:history="1">
        <w:r w:rsidR="003541D5" w:rsidRPr="00557971">
          <w:rPr>
            <w:rStyle w:val="Hyperlink"/>
            <w:noProof/>
          </w:rPr>
          <w:t>2.1.4</w:t>
        </w:r>
        <w:r w:rsidR="003541D5">
          <w:rPr>
            <w:rFonts w:asciiTheme="minorHAnsi" w:eastAsiaTheme="minorEastAsia" w:hAnsiTheme="minorHAnsi" w:cstheme="minorBidi"/>
            <w:noProof/>
            <w:szCs w:val="22"/>
          </w:rPr>
          <w:tab/>
        </w:r>
        <w:r w:rsidR="003541D5" w:rsidRPr="00557971">
          <w:rPr>
            <w:rStyle w:val="Hyperlink"/>
            <w:noProof/>
          </w:rPr>
          <w:t>La différenciation service (la qualité du service)</w:t>
        </w:r>
        <w:r w:rsidR="003541D5">
          <w:rPr>
            <w:noProof/>
            <w:webHidden/>
          </w:rPr>
          <w:tab/>
        </w:r>
        <w:r w:rsidR="003541D5">
          <w:rPr>
            <w:noProof/>
            <w:webHidden/>
          </w:rPr>
          <w:fldChar w:fldCharType="begin"/>
        </w:r>
        <w:r w:rsidR="003541D5">
          <w:rPr>
            <w:noProof/>
            <w:webHidden/>
          </w:rPr>
          <w:instrText xml:space="preserve"> PAGEREF _Toc451134006 \h </w:instrText>
        </w:r>
        <w:r w:rsidR="003541D5">
          <w:rPr>
            <w:noProof/>
            <w:webHidden/>
          </w:rPr>
        </w:r>
        <w:r w:rsidR="003541D5">
          <w:rPr>
            <w:noProof/>
            <w:webHidden/>
          </w:rPr>
          <w:fldChar w:fldCharType="separate"/>
        </w:r>
        <w:r w:rsidR="003B30F2">
          <w:rPr>
            <w:noProof/>
            <w:webHidden/>
          </w:rPr>
          <w:t>9</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4007" w:history="1">
        <w:r w:rsidR="003541D5" w:rsidRPr="00557971">
          <w:rPr>
            <w:rStyle w:val="Hyperlink"/>
            <w:noProof/>
          </w:rPr>
          <w:t>2.2</w:t>
        </w:r>
        <w:r w:rsidR="003541D5">
          <w:rPr>
            <w:rFonts w:asciiTheme="minorHAnsi" w:eastAsiaTheme="minorEastAsia" w:hAnsiTheme="minorHAnsi" w:cstheme="minorBidi"/>
            <w:noProof/>
            <w:szCs w:val="22"/>
          </w:rPr>
          <w:tab/>
        </w:r>
        <w:r w:rsidR="003541D5" w:rsidRPr="00557971">
          <w:rPr>
            <w:rStyle w:val="Hyperlink"/>
            <w:noProof/>
          </w:rPr>
          <w:t>Méthode des stratégies génériques</w:t>
        </w:r>
        <w:r w:rsidR="003541D5">
          <w:rPr>
            <w:noProof/>
            <w:webHidden/>
          </w:rPr>
          <w:tab/>
        </w:r>
        <w:r w:rsidR="003541D5">
          <w:rPr>
            <w:noProof/>
            <w:webHidden/>
          </w:rPr>
          <w:fldChar w:fldCharType="begin"/>
        </w:r>
        <w:r w:rsidR="003541D5">
          <w:rPr>
            <w:noProof/>
            <w:webHidden/>
          </w:rPr>
          <w:instrText xml:space="preserve"> PAGEREF _Toc451134007 \h </w:instrText>
        </w:r>
        <w:r w:rsidR="003541D5">
          <w:rPr>
            <w:noProof/>
            <w:webHidden/>
          </w:rPr>
        </w:r>
        <w:r w:rsidR="003541D5">
          <w:rPr>
            <w:noProof/>
            <w:webHidden/>
          </w:rPr>
          <w:fldChar w:fldCharType="separate"/>
        </w:r>
        <w:r w:rsidR="003B30F2">
          <w:rPr>
            <w:noProof/>
            <w:webHidden/>
          </w:rPr>
          <w:t>9</w:t>
        </w:r>
        <w:r w:rsidR="003541D5">
          <w:rPr>
            <w:noProof/>
            <w:webHidden/>
          </w:rPr>
          <w:fldChar w:fldCharType="end"/>
        </w:r>
      </w:hyperlink>
    </w:p>
    <w:p w:rsidR="003541D5" w:rsidRDefault="008409D6" w:rsidP="003541D5">
      <w:pPr>
        <w:pStyle w:val="TOC3"/>
        <w:ind w:right="-1418"/>
        <w:rPr>
          <w:rFonts w:asciiTheme="minorHAnsi" w:eastAsiaTheme="minorEastAsia" w:hAnsiTheme="minorHAnsi" w:cstheme="minorBidi"/>
          <w:noProof/>
          <w:szCs w:val="22"/>
        </w:rPr>
      </w:pPr>
      <w:hyperlink w:anchor="_Toc451134008" w:history="1">
        <w:r w:rsidR="003541D5" w:rsidRPr="00557971">
          <w:rPr>
            <w:rStyle w:val="Hyperlink"/>
            <w:noProof/>
          </w:rPr>
          <w:t>2.2.1</w:t>
        </w:r>
        <w:r w:rsidR="003541D5">
          <w:rPr>
            <w:rFonts w:asciiTheme="minorHAnsi" w:eastAsiaTheme="minorEastAsia" w:hAnsiTheme="minorHAnsi" w:cstheme="minorBidi"/>
            <w:noProof/>
            <w:szCs w:val="22"/>
          </w:rPr>
          <w:tab/>
        </w:r>
        <w:r w:rsidR="003541D5" w:rsidRPr="00557971">
          <w:rPr>
            <w:rStyle w:val="Hyperlink"/>
            <w:noProof/>
          </w:rPr>
          <w:t>Les stratégies de domination par les coûts (Les grands généralistes)</w:t>
        </w:r>
        <w:r w:rsidR="003541D5">
          <w:rPr>
            <w:noProof/>
            <w:webHidden/>
          </w:rPr>
          <w:tab/>
        </w:r>
        <w:r w:rsidR="003541D5">
          <w:rPr>
            <w:noProof/>
            <w:webHidden/>
          </w:rPr>
          <w:fldChar w:fldCharType="begin"/>
        </w:r>
        <w:r w:rsidR="003541D5">
          <w:rPr>
            <w:noProof/>
            <w:webHidden/>
          </w:rPr>
          <w:instrText xml:space="preserve"> PAGEREF _Toc451134008 \h </w:instrText>
        </w:r>
        <w:r w:rsidR="003541D5">
          <w:rPr>
            <w:noProof/>
            <w:webHidden/>
          </w:rPr>
        </w:r>
        <w:r w:rsidR="003541D5">
          <w:rPr>
            <w:noProof/>
            <w:webHidden/>
          </w:rPr>
          <w:fldChar w:fldCharType="separate"/>
        </w:r>
        <w:r w:rsidR="003B30F2">
          <w:rPr>
            <w:noProof/>
            <w:webHidden/>
          </w:rPr>
          <w:t>9</w:t>
        </w:r>
        <w:r w:rsidR="003541D5">
          <w:rPr>
            <w:noProof/>
            <w:webHidden/>
          </w:rPr>
          <w:fldChar w:fldCharType="end"/>
        </w:r>
      </w:hyperlink>
    </w:p>
    <w:p w:rsidR="003541D5" w:rsidRDefault="008409D6" w:rsidP="003541D5">
      <w:pPr>
        <w:pStyle w:val="TOC3"/>
        <w:ind w:right="-1418"/>
        <w:rPr>
          <w:rFonts w:asciiTheme="minorHAnsi" w:eastAsiaTheme="minorEastAsia" w:hAnsiTheme="minorHAnsi" w:cstheme="minorBidi"/>
          <w:noProof/>
          <w:szCs w:val="22"/>
        </w:rPr>
      </w:pPr>
      <w:hyperlink w:anchor="_Toc451134009" w:history="1">
        <w:r w:rsidR="003541D5" w:rsidRPr="00557971">
          <w:rPr>
            <w:rStyle w:val="Hyperlink"/>
            <w:noProof/>
          </w:rPr>
          <w:t>2.2.2</w:t>
        </w:r>
        <w:r w:rsidR="003541D5">
          <w:rPr>
            <w:rFonts w:asciiTheme="minorHAnsi" w:eastAsiaTheme="minorEastAsia" w:hAnsiTheme="minorHAnsi" w:cstheme="minorBidi"/>
            <w:noProof/>
            <w:szCs w:val="22"/>
          </w:rPr>
          <w:tab/>
        </w:r>
        <w:r w:rsidR="003541D5" w:rsidRPr="00557971">
          <w:rPr>
            <w:rStyle w:val="Hyperlink"/>
            <w:noProof/>
          </w:rPr>
          <w:t>Les stratégies de différenciation (Les talents)</w:t>
        </w:r>
        <w:r w:rsidR="003541D5">
          <w:rPr>
            <w:noProof/>
            <w:webHidden/>
          </w:rPr>
          <w:tab/>
        </w:r>
        <w:r w:rsidR="003541D5">
          <w:rPr>
            <w:noProof/>
            <w:webHidden/>
          </w:rPr>
          <w:fldChar w:fldCharType="begin"/>
        </w:r>
        <w:r w:rsidR="003541D5">
          <w:rPr>
            <w:noProof/>
            <w:webHidden/>
          </w:rPr>
          <w:instrText xml:space="preserve"> PAGEREF _Toc451134009 \h </w:instrText>
        </w:r>
        <w:r w:rsidR="003541D5">
          <w:rPr>
            <w:noProof/>
            <w:webHidden/>
          </w:rPr>
        </w:r>
        <w:r w:rsidR="003541D5">
          <w:rPr>
            <w:noProof/>
            <w:webHidden/>
          </w:rPr>
          <w:fldChar w:fldCharType="separate"/>
        </w:r>
        <w:r w:rsidR="003B30F2">
          <w:rPr>
            <w:noProof/>
            <w:webHidden/>
          </w:rPr>
          <w:t>10</w:t>
        </w:r>
        <w:r w:rsidR="003541D5">
          <w:rPr>
            <w:noProof/>
            <w:webHidden/>
          </w:rPr>
          <w:fldChar w:fldCharType="end"/>
        </w:r>
      </w:hyperlink>
    </w:p>
    <w:p w:rsidR="003541D5" w:rsidRDefault="008409D6" w:rsidP="003541D5">
      <w:pPr>
        <w:pStyle w:val="TOC3"/>
        <w:ind w:right="-1418"/>
        <w:rPr>
          <w:rFonts w:asciiTheme="minorHAnsi" w:eastAsiaTheme="minorEastAsia" w:hAnsiTheme="minorHAnsi" w:cstheme="minorBidi"/>
          <w:noProof/>
          <w:szCs w:val="22"/>
        </w:rPr>
      </w:pPr>
      <w:hyperlink w:anchor="_Toc451134010" w:history="1">
        <w:r w:rsidR="003541D5" w:rsidRPr="00557971">
          <w:rPr>
            <w:rStyle w:val="Hyperlink"/>
            <w:noProof/>
          </w:rPr>
          <w:t>2.2.3</w:t>
        </w:r>
        <w:r w:rsidR="003541D5">
          <w:rPr>
            <w:rFonts w:asciiTheme="minorHAnsi" w:eastAsiaTheme="minorEastAsia" w:hAnsiTheme="minorHAnsi" w:cstheme="minorBidi"/>
            <w:noProof/>
            <w:szCs w:val="22"/>
          </w:rPr>
          <w:tab/>
        </w:r>
        <w:r w:rsidR="003541D5" w:rsidRPr="00557971">
          <w:rPr>
            <w:rStyle w:val="Hyperlink"/>
            <w:noProof/>
          </w:rPr>
          <w:t>Les stratégies de focalisation (les spécialistes et les experts)</w:t>
        </w:r>
        <w:r w:rsidR="003541D5">
          <w:rPr>
            <w:noProof/>
            <w:webHidden/>
          </w:rPr>
          <w:tab/>
        </w:r>
        <w:r w:rsidR="003541D5">
          <w:rPr>
            <w:noProof/>
            <w:webHidden/>
          </w:rPr>
          <w:fldChar w:fldCharType="begin"/>
        </w:r>
        <w:r w:rsidR="003541D5">
          <w:rPr>
            <w:noProof/>
            <w:webHidden/>
          </w:rPr>
          <w:instrText xml:space="preserve"> PAGEREF _Toc451134010 \h </w:instrText>
        </w:r>
        <w:r w:rsidR="003541D5">
          <w:rPr>
            <w:noProof/>
            <w:webHidden/>
          </w:rPr>
        </w:r>
        <w:r w:rsidR="003541D5">
          <w:rPr>
            <w:noProof/>
            <w:webHidden/>
          </w:rPr>
          <w:fldChar w:fldCharType="separate"/>
        </w:r>
        <w:r w:rsidR="003B30F2">
          <w:rPr>
            <w:noProof/>
            <w:webHidden/>
          </w:rPr>
          <w:t>10</w:t>
        </w:r>
        <w:r w:rsidR="003541D5">
          <w:rPr>
            <w:noProof/>
            <w:webHidden/>
          </w:rPr>
          <w:fldChar w:fldCharType="end"/>
        </w:r>
      </w:hyperlink>
    </w:p>
    <w:p w:rsidR="003541D5" w:rsidRDefault="008409D6" w:rsidP="003541D5">
      <w:pPr>
        <w:pStyle w:val="TOC4"/>
        <w:tabs>
          <w:tab w:val="left" w:pos="2127"/>
          <w:tab w:val="right" w:leader="underscore" w:pos="9639"/>
        </w:tabs>
        <w:ind w:left="1276" w:right="-1559"/>
        <w:rPr>
          <w:rFonts w:asciiTheme="minorHAnsi" w:eastAsiaTheme="minorEastAsia" w:hAnsiTheme="minorHAnsi" w:cstheme="minorBidi"/>
          <w:noProof/>
          <w:szCs w:val="22"/>
        </w:rPr>
      </w:pPr>
      <w:hyperlink w:anchor="_Toc451134011" w:history="1">
        <w:r w:rsidR="003541D5" w:rsidRPr="00557971">
          <w:rPr>
            <w:rStyle w:val="Hyperlink"/>
            <w:noProof/>
          </w:rPr>
          <w:t>2.2.3.1</w:t>
        </w:r>
        <w:r w:rsidR="003541D5">
          <w:rPr>
            <w:rFonts w:asciiTheme="minorHAnsi" w:eastAsiaTheme="minorEastAsia" w:hAnsiTheme="minorHAnsi" w:cstheme="minorBidi"/>
            <w:noProof/>
            <w:szCs w:val="22"/>
          </w:rPr>
          <w:tab/>
        </w:r>
        <w:r w:rsidR="003541D5" w:rsidRPr="00557971">
          <w:rPr>
            <w:rStyle w:val="Hyperlink"/>
            <w:noProof/>
          </w:rPr>
          <w:t>Stratégies de niche</w:t>
        </w:r>
        <w:r w:rsidR="003541D5">
          <w:rPr>
            <w:noProof/>
            <w:webHidden/>
          </w:rPr>
          <w:tab/>
        </w:r>
        <w:r w:rsidR="003541D5">
          <w:rPr>
            <w:noProof/>
            <w:webHidden/>
          </w:rPr>
          <w:fldChar w:fldCharType="begin"/>
        </w:r>
        <w:r w:rsidR="003541D5">
          <w:rPr>
            <w:noProof/>
            <w:webHidden/>
          </w:rPr>
          <w:instrText xml:space="preserve"> PAGEREF _Toc451134011 \h </w:instrText>
        </w:r>
        <w:r w:rsidR="003541D5">
          <w:rPr>
            <w:noProof/>
            <w:webHidden/>
          </w:rPr>
        </w:r>
        <w:r w:rsidR="003541D5">
          <w:rPr>
            <w:noProof/>
            <w:webHidden/>
          </w:rPr>
          <w:fldChar w:fldCharType="separate"/>
        </w:r>
        <w:r w:rsidR="003B30F2">
          <w:rPr>
            <w:noProof/>
            <w:webHidden/>
          </w:rPr>
          <w:t>10</w:t>
        </w:r>
        <w:r w:rsidR="003541D5">
          <w:rPr>
            <w:noProof/>
            <w:webHidden/>
          </w:rPr>
          <w:fldChar w:fldCharType="end"/>
        </w:r>
      </w:hyperlink>
    </w:p>
    <w:p w:rsidR="003541D5" w:rsidRDefault="008409D6" w:rsidP="003541D5">
      <w:pPr>
        <w:pStyle w:val="TOC4"/>
        <w:tabs>
          <w:tab w:val="left" w:pos="2127"/>
          <w:tab w:val="right" w:leader="underscore" w:pos="9639"/>
        </w:tabs>
        <w:ind w:left="1276" w:right="-1559"/>
        <w:rPr>
          <w:rFonts w:asciiTheme="minorHAnsi" w:eastAsiaTheme="minorEastAsia" w:hAnsiTheme="minorHAnsi" w:cstheme="minorBidi"/>
          <w:noProof/>
          <w:szCs w:val="22"/>
        </w:rPr>
      </w:pPr>
      <w:hyperlink w:anchor="_Toc451134012" w:history="1">
        <w:r w:rsidR="003541D5" w:rsidRPr="00557971">
          <w:rPr>
            <w:rStyle w:val="Hyperlink"/>
            <w:noProof/>
          </w:rPr>
          <w:t>2.2.3.2</w:t>
        </w:r>
        <w:r w:rsidR="003541D5">
          <w:rPr>
            <w:rFonts w:asciiTheme="minorHAnsi" w:eastAsiaTheme="minorEastAsia" w:hAnsiTheme="minorHAnsi" w:cstheme="minorBidi"/>
            <w:noProof/>
            <w:szCs w:val="22"/>
          </w:rPr>
          <w:tab/>
        </w:r>
        <w:r w:rsidR="003541D5" w:rsidRPr="00557971">
          <w:rPr>
            <w:rStyle w:val="Hyperlink"/>
            <w:noProof/>
          </w:rPr>
          <w:t>Stratégies de focalisation plus large</w:t>
        </w:r>
        <w:r w:rsidR="003541D5">
          <w:rPr>
            <w:noProof/>
            <w:webHidden/>
          </w:rPr>
          <w:tab/>
        </w:r>
        <w:r w:rsidR="003541D5">
          <w:rPr>
            <w:noProof/>
            <w:webHidden/>
          </w:rPr>
          <w:fldChar w:fldCharType="begin"/>
        </w:r>
        <w:r w:rsidR="003541D5">
          <w:rPr>
            <w:noProof/>
            <w:webHidden/>
          </w:rPr>
          <w:instrText xml:space="preserve"> PAGEREF _Toc451134012 \h </w:instrText>
        </w:r>
        <w:r w:rsidR="003541D5">
          <w:rPr>
            <w:noProof/>
            <w:webHidden/>
          </w:rPr>
        </w:r>
        <w:r w:rsidR="003541D5">
          <w:rPr>
            <w:noProof/>
            <w:webHidden/>
          </w:rPr>
          <w:fldChar w:fldCharType="separate"/>
        </w:r>
        <w:r w:rsidR="003B30F2">
          <w:rPr>
            <w:noProof/>
            <w:webHidden/>
          </w:rPr>
          <w:t>10</w:t>
        </w:r>
        <w:r w:rsidR="003541D5">
          <w:rPr>
            <w:noProof/>
            <w:webHidden/>
          </w:rPr>
          <w:fldChar w:fldCharType="end"/>
        </w:r>
      </w:hyperlink>
    </w:p>
    <w:p w:rsidR="003541D5" w:rsidRDefault="008409D6">
      <w:pPr>
        <w:pStyle w:val="TOC3"/>
        <w:rPr>
          <w:rFonts w:asciiTheme="minorHAnsi" w:eastAsiaTheme="minorEastAsia" w:hAnsiTheme="minorHAnsi" w:cstheme="minorBidi"/>
          <w:noProof/>
          <w:szCs w:val="22"/>
        </w:rPr>
      </w:pPr>
      <w:hyperlink w:anchor="_Toc451134013" w:history="1">
        <w:r w:rsidR="003541D5" w:rsidRPr="00557971">
          <w:rPr>
            <w:rStyle w:val="Hyperlink"/>
            <w:noProof/>
          </w:rPr>
          <w:t>2.2.4</w:t>
        </w:r>
        <w:r w:rsidR="003541D5">
          <w:rPr>
            <w:rFonts w:asciiTheme="minorHAnsi" w:eastAsiaTheme="minorEastAsia" w:hAnsiTheme="minorHAnsi" w:cstheme="minorBidi"/>
            <w:noProof/>
            <w:szCs w:val="22"/>
          </w:rPr>
          <w:tab/>
        </w:r>
        <w:r w:rsidR="003541D5" w:rsidRPr="00557971">
          <w:rPr>
            <w:rStyle w:val="Hyperlink"/>
            <w:noProof/>
          </w:rPr>
          <w:t>Les stratégies mixtes (les petits généralistes)</w:t>
        </w:r>
        <w:r w:rsidR="003541D5">
          <w:rPr>
            <w:noProof/>
            <w:webHidden/>
          </w:rPr>
          <w:tab/>
        </w:r>
        <w:r w:rsidR="003541D5">
          <w:rPr>
            <w:noProof/>
            <w:webHidden/>
          </w:rPr>
          <w:fldChar w:fldCharType="begin"/>
        </w:r>
        <w:r w:rsidR="003541D5">
          <w:rPr>
            <w:noProof/>
            <w:webHidden/>
          </w:rPr>
          <w:instrText xml:space="preserve"> PAGEREF _Toc451134013 \h </w:instrText>
        </w:r>
        <w:r w:rsidR="003541D5">
          <w:rPr>
            <w:noProof/>
            <w:webHidden/>
          </w:rPr>
        </w:r>
        <w:r w:rsidR="003541D5">
          <w:rPr>
            <w:noProof/>
            <w:webHidden/>
          </w:rPr>
          <w:fldChar w:fldCharType="separate"/>
        </w:r>
        <w:r w:rsidR="003B30F2">
          <w:rPr>
            <w:noProof/>
            <w:webHidden/>
          </w:rPr>
          <w:t>10</w:t>
        </w:r>
        <w:r w:rsidR="003541D5">
          <w:rPr>
            <w:noProof/>
            <w:webHidden/>
          </w:rPr>
          <w:fldChar w:fldCharType="end"/>
        </w:r>
      </w:hyperlink>
    </w:p>
    <w:p w:rsidR="003541D5" w:rsidRDefault="008409D6">
      <w:pPr>
        <w:pStyle w:val="TOC1"/>
        <w:rPr>
          <w:rFonts w:asciiTheme="minorHAnsi" w:eastAsiaTheme="minorEastAsia" w:hAnsiTheme="minorHAnsi" w:cstheme="minorBidi"/>
          <w:noProof/>
          <w:szCs w:val="22"/>
        </w:rPr>
      </w:pPr>
      <w:hyperlink w:anchor="_Toc451134014" w:history="1">
        <w:r w:rsidR="003541D5" w:rsidRPr="00557971">
          <w:rPr>
            <w:rStyle w:val="Hyperlink"/>
            <w:noProof/>
          </w:rPr>
          <w:t>3</w:t>
        </w:r>
        <w:r w:rsidR="003541D5">
          <w:rPr>
            <w:rFonts w:asciiTheme="minorHAnsi" w:eastAsiaTheme="minorEastAsia" w:hAnsiTheme="minorHAnsi" w:cstheme="minorBidi"/>
            <w:noProof/>
            <w:szCs w:val="22"/>
          </w:rPr>
          <w:tab/>
        </w:r>
        <w:r w:rsidR="003541D5" w:rsidRPr="00557971">
          <w:rPr>
            <w:rStyle w:val="Hyperlink"/>
            <w:noProof/>
          </w:rPr>
          <w:t>Carte du secteur</w:t>
        </w:r>
        <w:r w:rsidR="003541D5">
          <w:rPr>
            <w:noProof/>
            <w:webHidden/>
          </w:rPr>
          <w:tab/>
        </w:r>
        <w:r w:rsidR="003541D5">
          <w:rPr>
            <w:noProof/>
            <w:webHidden/>
          </w:rPr>
          <w:fldChar w:fldCharType="begin"/>
        </w:r>
        <w:r w:rsidR="003541D5">
          <w:rPr>
            <w:noProof/>
            <w:webHidden/>
          </w:rPr>
          <w:instrText xml:space="preserve"> PAGEREF _Toc451134014 \h </w:instrText>
        </w:r>
        <w:r w:rsidR="003541D5">
          <w:rPr>
            <w:noProof/>
            <w:webHidden/>
          </w:rPr>
        </w:r>
        <w:r w:rsidR="003541D5">
          <w:rPr>
            <w:noProof/>
            <w:webHidden/>
          </w:rPr>
          <w:fldChar w:fldCharType="separate"/>
        </w:r>
        <w:r w:rsidR="003B30F2">
          <w:rPr>
            <w:noProof/>
            <w:webHidden/>
          </w:rPr>
          <w:t>11</w:t>
        </w:r>
        <w:r w:rsidR="003541D5">
          <w:rPr>
            <w:noProof/>
            <w:webHidden/>
          </w:rPr>
          <w:fldChar w:fldCharType="end"/>
        </w:r>
      </w:hyperlink>
    </w:p>
    <w:p w:rsidR="003541D5" w:rsidRDefault="008409D6">
      <w:pPr>
        <w:pStyle w:val="TOC1"/>
        <w:rPr>
          <w:rFonts w:asciiTheme="minorHAnsi" w:eastAsiaTheme="minorEastAsia" w:hAnsiTheme="minorHAnsi" w:cstheme="minorBidi"/>
          <w:noProof/>
          <w:szCs w:val="22"/>
        </w:rPr>
      </w:pPr>
      <w:hyperlink w:anchor="_Toc451134015" w:history="1">
        <w:r w:rsidR="003541D5" w:rsidRPr="00557971">
          <w:rPr>
            <w:rStyle w:val="Hyperlink"/>
            <w:noProof/>
          </w:rPr>
          <w:t>Annexes</w:t>
        </w:r>
        <w:r w:rsidR="003541D5">
          <w:rPr>
            <w:noProof/>
            <w:webHidden/>
          </w:rPr>
          <w:tab/>
        </w:r>
        <w:r w:rsidR="003541D5">
          <w:rPr>
            <w:noProof/>
            <w:webHidden/>
          </w:rPr>
          <w:fldChar w:fldCharType="begin"/>
        </w:r>
        <w:r w:rsidR="003541D5">
          <w:rPr>
            <w:noProof/>
            <w:webHidden/>
          </w:rPr>
          <w:instrText xml:space="preserve"> PAGEREF _Toc451134015 \h </w:instrText>
        </w:r>
        <w:r w:rsidR="003541D5">
          <w:rPr>
            <w:noProof/>
            <w:webHidden/>
          </w:rPr>
        </w:r>
        <w:r w:rsidR="003541D5">
          <w:rPr>
            <w:noProof/>
            <w:webHidden/>
          </w:rPr>
          <w:fldChar w:fldCharType="separate"/>
        </w:r>
        <w:r w:rsidR="003B30F2">
          <w:rPr>
            <w:noProof/>
            <w:webHidden/>
          </w:rPr>
          <w:t>13</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4016" w:history="1">
        <w:r w:rsidR="003541D5" w:rsidRPr="00557971">
          <w:rPr>
            <w:rStyle w:val="Hyperlink"/>
            <w:noProof/>
          </w:rPr>
          <w:t>Modèle économique des ESN (Canvas)</w:t>
        </w:r>
        <w:r w:rsidR="003541D5">
          <w:rPr>
            <w:noProof/>
            <w:webHidden/>
          </w:rPr>
          <w:tab/>
        </w:r>
        <w:r w:rsidR="003541D5">
          <w:rPr>
            <w:noProof/>
            <w:webHidden/>
          </w:rPr>
          <w:fldChar w:fldCharType="begin"/>
        </w:r>
        <w:r w:rsidR="003541D5">
          <w:rPr>
            <w:noProof/>
            <w:webHidden/>
          </w:rPr>
          <w:instrText xml:space="preserve"> PAGEREF _Toc451134016 \h </w:instrText>
        </w:r>
        <w:r w:rsidR="003541D5">
          <w:rPr>
            <w:noProof/>
            <w:webHidden/>
          </w:rPr>
        </w:r>
        <w:r w:rsidR="003541D5">
          <w:rPr>
            <w:noProof/>
            <w:webHidden/>
          </w:rPr>
          <w:fldChar w:fldCharType="separate"/>
        </w:r>
        <w:r w:rsidR="003B30F2">
          <w:rPr>
            <w:noProof/>
            <w:webHidden/>
          </w:rPr>
          <w:t>13</w:t>
        </w:r>
        <w:r w:rsidR="003541D5">
          <w:rPr>
            <w:noProof/>
            <w:webHidden/>
          </w:rPr>
          <w:fldChar w:fldCharType="end"/>
        </w:r>
      </w:hyperlink>
    </w:p>
    <w:p w:rsidR="003541D5" w:rsidRDefault="008409D6">
      <w:pPr>
        <w:pStyle w:val="TOC2"/>
        <w:rPr>
          <w:rFonts w:asciiTheme="minorHAnsi" w:eastAsiaTheme="minorEastAsia" w:hAnsiTheme="minorHAnsi" w:cstheme="minorBidi"/>
          <w:noProof/>
          <w:szCs w:val="22"/>
        </w:rPr>
      </w:pPr>
      <w:hyperlink w:anchor="_Toc451134017" w:history="1">
        <w:r w:rsidR="003541D5" w:rsidRPr="00557971">
          <w:rPr>
            <w:rStyle w:val="Hyperlink"/>
            <w:noProof/>
          </w:rPr>
          <w:t>Détails des groupes stratégiques</w:t>
        </w:r>
        <w:r w:rsidR="003541D5">
          <w:rPr>
            <w:noProof/>
            <w:webHidden/>
          </w:rPr>
          <w:tab/>
        </w:r>
        <w:r w:rsidR="003541D5">
          <w:rPr>
            <w:noProof/>
            <w:webHidden/>
          </w:rPr>
          <w:fldChar w:fldCharType="begin"/>
        </w:r>
        <w:r w:rsidR="003541D5">
          <w:rPr>
            <w:noProof/>
            <w:webHidden/>
          </w:rPr>
          <w:instrText xml:space="preserve"> PAGEREF _Toc451134017 \h </w:instrText>
        </w:r>
        <w:r w:rsidR="003541D5">
          <w:rPr>
            <w:noProof/>
            <w:webHidden/>
          </w:rPr>
        </w:r>
        <w:r w:rsidR="003541D5">
          <w:rPr>
            <w:noProof/>
            <w:webHidden/>
          </w:rPr>
          <w:fldChar w:fldCharType="separate"/>
        </w:r>
        <w:r w:rsidR="003B30F2">
          <w:rPr>
            <w:noProof/>
            <w:webHidden/>
          </w:rPr>
          <w:t>13</w:t>
        </w:r>
        <w:r w:rsidR="003541D5">
          <w:rPr>
            <w:noProof/>
            <w:webHidden/>
          </w:rPr>
          <w:fldChar w:fldCharType="end"/>
        </w:r>
      </w:hyperlink>
    </w:p>
    <w:p w:rsidR="00164932" w:rsidRDefault="00F90D31" w:rsidP="00FF1251">
      <w:pPr>
        <w:ind w:right="-1559"/>
      </w:pPr>
      <w:r w:rsidRPr="00605096">
        <w:rPr>
          <w:sz w:val="14"/>
          <w:szCs w:val="12"/>
        </w:rPr>
        <w:fldChar w:fldCharType="end"/>
      </w:r>
    </w:p>
    <w:p w:rsidR="004443D6" w:rsidRDefault="004443D6" w:rsidP="00AF22F5"/>
    <w:p w:rsidR="004443D6" w:rsidRDefault="002D40AD" w:rsidP="00AF22F5">
      <w:pPr>
        <w:pStyle w:val="Heading1"/>
      </w:pPr>
      <w:bookmarkStart w:id="7" w:name="_Toc451134000"/>
      <w:r>
        <w:lastRenderedPageBreak/>
        <w:t xml:space="preserve">Résumé </w:t>
      </w:r>
      <w:r w:rsidR="009E6B17" w:rsidRPr="009E6B17">
        <w:t>Executi</w:t>
      </w:r>
      <w:r w:rsidR="0086101F">
        <w:t>f</w:t>
      </w:r>
      <w:bookmarkEnd w:id="7"/>
      <w:r w:rsidR="009E6B17" w:rsidRPr="009E6B17">
        <w:t xml:space="preserve"> </w:t>
      </w:r>
    </w:p>
    <w:p w:rsidR="009E6B17" w:rsidRPr="008C4FD6" w:rsidRDefault="009E6B17" w:rsidP="00A05648">
      <w:r w:rsidRPr="008C4FD6">
        <w:t xml:space="preserve">Nous avons vu dans la </w:t>
      </w:r>
      <w:r w:rsidR="00E86B16">
        <w:t>1</w:t>
      </w:r>
      <w:r w:rsidR="00E86B16" w:rsidRPr="00E86B16">
        <w:rPr>
          <w:vertAlign w:val="superscript"/>
        </w:rPr>
        <w:t>ère</w:t>
      </w:r>
      <w:r w:rsidRPr="008C4FD6">
        <w:t xml:space="preserve"> fiche </w:t>
      </w:r>
      <w:r w:rsidR="00E86B16">
        <w:t xml:space="preserve">sur la demande </w:t>
      </w:r>
      <w:r w:rsidRPr="008C4FD6">
        <w:t>que l</w:t>
      </w:r>
      <w:r w:rsidR="00E86B16">
        <w:t>a taille du</w:t>
      </w:r>
      <w:r w:rsidRPr="008C4FD6">
        <w:t xml:space="preserve"> marché du secteur conseil en systèmes et logiciels informatique</w:t>
      </w:r>
      <w:r w:rsidR="00E86B16">
        <w:t>s</w:t>
      </w:r>
      <w:r w:rsidRPr="008C4FD6">
        <w:t xml:space="preserve"> (6202A) </w:t>
      </w:r>
      <w:r w:rsidR="008C4FD6" w:rsidRPr="008C4FD6">
        <w:t xml:space="preserve">en France </w:t>
      </w:r>
      <w:proofErr w:type="gramStart"/>
      <w:r w:rsidRPr="008C4FD6">
        <w:t>est</w:t>
      </w:r>
      <w:proofErr w:type="gramEnd"/>
      <w:r w:rsidRPr="008C4FD6">
        <w:t xml:space="preserve"> de 30 milliard d'euro</w:t>
      </w:r>
      <w:r w:rsidR="00D2206A">
        <w:t>s</w:t>
      </w:r>
      <w:r w:rsidRPr="008C4FD6">
        <w:t xml:space="preserve"> en 2014. Ce marché représente 50% du marché des services informatique</w:t>
      </w:r>
      <w:r w:rsidR="00D2206A">
        <w:t>s</w:t>
      </w:r>
      <w:r w:rsidRPr="008C4FD6">
        <w:t xml:space="preserve">, 20% du marché des TIC et 1% du PIB avec une croissance annuelle moyenne de 6,5 % depuis 1995. Dans un contexte de transformation digitale de l'économie, les entreprises de ce secteur s’adressent à </w:t>
      </w:r>
      <w:r w:rsidR="00E86B16">
        <w:t>aux</w:t>
      </w:r>
      <w:r w:rsidRPr="008C4FD6">
        <w:t xml:space="preserve"> </w:t>
      </w:r>
      <w:r w:rsidR="00E86B16">
        <w:t xml:space="preserve">entreprises des </w:t>
      </w:r>
      <w:r w:rsidRPr="008C4FD6">
        <w:t xml:space="preserve">autres secteurs d'activité où les clients sont de tailles différentes. Les principaux clients sont : </w:t>
      </w:r>
      <w:r w:rsidRPr="008C4FD6">
        <w:rPr>
          <w:rFonts w:eastAsia="Calibri"/>
        </w:rPr>
        <w:t xml:space="preserve">les banques et les assurances, </w:t>
      </w:r>
      <w:r w:rsidRPr="008C4FD6">
        <w:t xml:space="preserve">le secteur public, l’industrie, </w:t>
      </w:r>
      <w:r w:rsidR="008C4FD6" w:rsidRPr="008C4FD6">
        <w:t xml:space="preserve">le commerce </w:t>
      </w:r>
      <w:r w:rsidR="00E86B16">
        <w:t xml:space="preserve">de gros et de détail, les télécoms </w:t>
      </w:r>
      <w:r w:rsidRPr="008C4FD6">
        <w:t xml:space="preserve">et l’énergie. Le digital n’est pas seulement un ensemble de nouvelles technologies d’information et de communication mais aussi une nouvelle mentalité et de nouveaux usages qui transforment les processus d’approvisionnement, de production, de distribution et de consommation. Ce contexte </w:t>
      </w:r>
      <w:r w:rsidR="008C4FD6">
        <w:t>favorable à la</w:t>
      </w:r>
      <w:r w:rsidRPr="008C4FD6">
        <w:t xml:space="preserve"> croissance est donc le résultat des nouveaux besoins liés d’une part aux nouvelles technologies de l’information : les </w:t>
      </w:r>
      <w:r w:rsidRPr="008C4FD6">
        <w:rPr>
          <w:b/>
          <w:bCs/>
        </w:rPr>
        <w:t>SMACS</w:t>
      </w:r>
      <w:r w:rsidR="00A05648">
        <w:rPr>
          <w:rStyle w:val="FootnoteReference"/>
          <w:b/>
          <w:bCs/>
        </w:rPr>
        <w:footnoteReference w:id="1"/>
      </w:r>
      <w:r w:rsidRPr="008C4FD6">
        <w:t xml:space="preserve"> et d’autre part aux nouveaux usages comme le </w:t>
      </w:r>
      <w:proofErr w:type="spellStart"/>
      <w:r w:rsidRPr="008C4FD6">
        <w:rPr>
          <w:b/>
          <w:bCs/>
        </w:rPr>
        <w:t>DevOps</w:t>
      </w:r>
      <w:proofErr w:type="spellEnd"/>
      <w:r w:rsidR="00A05648">
        <w:rPr>
          <w:rStyle w:val="FootnoteReference"/>
          <w:b/>
          <w:bCs/>
        </w:rPr>
        <w:footnoteReference w:id="2"/>
      </w:r>
      <w:r w:rsidRPr="008C4FD6">
        <w:t xml:space="preserve">, les nouvelles formes </w:t>
      </w:r>
      <w:r w:rsidR="008C4FD6">
        <w:t xml:space="preserve">digitales </w:t>
      </w:r>
      <w:r w:rsidRPr="008C4FD6">
        <w:t xml:space="preserve">de gestion de relation client, de nouvelles méthodes de travail. </w:t>
      </w:r>
    </w:p>
    <w:p w:rsidR="00A60506" w:rsidRDefault="009E6B17" w:rsidP="00D2206A">
      <w:r w:rsidRPr="008C4FD6">
        <w:t xml:space="preserve">Nous </w:t>
      </w:r>
      <w:r w:rsidR="00E86B16">
        <w:t>avons</w:t>
      </w:r>
      <w:r w:rsidRPr="008C4FD6">
        <w:t xml:space="preserve"> </w:t>
      </w:r>
      <w:r w:rsidR="00E86B16">
        <w:t xml:space="preserve">vu </w:t>
      </w:r>
      <w:r w:rsidRPr="008C4FD6">
        <w:t xml:space="preserve">dans </w:t>
      </w:r>
      <w:r w:rsidR="00E86B16">
        <w:t>la 2</w:t>
      </w:r>
      <w:r w:rsidR="00E86B16" w:rsidRPr="00E86B16">
        <w:rPr>
          <w:vertAlign w:val="superscript"/>
        </w:rPr>
        <w:t>ème</w:t>
      </w:r>
      <w:r w:rsidR="00E86B16">
        <w:t xml:space="preserve"> </w:t>
      </w:r>
      <w:r w:rsidRPr="008C4FD6">
        <w:t xml:space="preserve">fiche </w:t>
      </w:r>
      <w:r w:rsidR="00E86B16">
        <w:t xml:space="preserve">sur les structures </w:t>
      </w:r>
      <w:r w:rsidRPr="008C4FD6">
        <w:t>que ce secteur</w:t>
      </w:r>
      <w:r w:rsidR="00180438">
        <w:t xml:space="preserve">, constitué de plus de </w:t>
      </w:r>
      <w:r w:rsidR="00E86B16">
        <w:t>20</w:t>
      </w:r>
      <w:r w:rsidR="00180438">
        <w:t> 000 entreprises,</w:t>
      </w:r>
      <w:r w:rsidRPr="008C4FD6">
        <w:t xml:space="preserve"> est peu concentré</w:t>
      </w:r>
      <w:r w:rsidR="00AB734A">
        <w:t xml:space="preserve">. En 2014, le C4 est de </w:t>
      </w:r>
      <w:r w:rsidR="00D017BB">
        <w:t>20</w:t>
      </w:r>
      <w:r w:rsidR="00AB734A">
        <w:t xml:space="preserve">%, le top 100 partage </w:t>
      </w:r>
      <w:r w:rsidR="00D2206A">
        <w:t>70</w:t>
      </w:r>
      <w:r w:rsidR="00AB734A">
        <w:t>% des parts de marché, le</w:t>
      </w:r>
      <w:r w:rsidRPr="008C4FD6">
        <w:t xml:space="preserve"> top 500 </w:t>
      </w:r>
      <w:r w:rsidR="00D017BB">
        <w:t xml:space="preserve">en </w:t>
      </w:r>
      <w:r w:rsidR="00AB734A">
        <w:t>détient</w:t>
      </w:r>
      <w:r w:rsidRPr="008C4FD6">
        <w:t xml:space="preserve"> 85% et le premier quartile</w:t>
      </w:r>
      <w:r w:rsidR="00AB734A">
        <w:t>,</w:t>
      </w:r>
      <w:r w:rsidRPr="008C4FD6">
        <w:t xml:space="preserve"> partagent pratiquement tout le marché (99%). Nous </w:t>
      </w:r>
      <w:r w:rsidR="00E86B16">
        <w:t>avons vu</w:t>
      </w:r>
      <w:r w:rsidRPr="008C4FD6">
        <w:t xml:space="preserve"> aussi que la TMO</w:t>
      </w:r>
      <w:r w:rsidR="00E86B16">
        <w:rPr>
          <w:rStyle w:val="FootnoteReference"/>
        </w:rPr>
        <w:footnoteReference w:id="3"/>
      </w:r>
      <w:r w:rsidR="008C4FD6">
        <w:t xml:space="preserve">, </w:t>
      </w:r>
      <w:r w:rsidRPr="008C4FD6">
        <w:t>en 2014</w:t>
      </w:r>
      <w:r w:rsidR="00D017BB">
        <w:t>,</w:t>
      </w:r>
      <w:r w:rsidRPr="008C4FD6">
        <w:t xml:space="preserve"> est autour de 160 millions d'euro</w:t>
      </w:r>
      <w:r w:rsidR="00E86B16">
        <w:t xml:space="preserve"> de CA</w:t>
      </w:r>
      <w:r w:rsidRPr="008C4FD6">
        <w:t xml:space="preserve">. Cela </w:t>
      </w:r>
      <w:r w:rsidR="00D017BB">
        <w:t>explique les nombreuses opérations de fusions e</w:t>
      </w:r>
      <w:r w:rsidR="00E5131F">
        <w:t>t</w:t>
      </w:r>
      <w:r w:rsidR="00E86B16">
        <w:t xml:space="preserve"> acquisitions observées mais le secteur reste peu concentré</w:t>
      </w:r>
      <w:r w:rsidR="00D017BB">
        <w:t>. En effet, l’indice d’</w:t>
      </w:r>
      <w:proofErr w:type="spellStart"/>
      <w:r w:rsidR="00D017BB">
        <w:t>Herfindahl</w:t>
      </w:r>
      <w:proofErr w:type="spellEnd"/>
      <w:r w:rsidR="00D017BB">
        <w:t xml:space="preserve"> passe de 587 en 2004 à 168 en 2014. Cela s’explique par le fait que les barrières à l’entrée sont faibles et le marché qui est en croissance annuelle moyenne de 6,5%, attire les création</w:t>
      </w:r>
      <w:r w:rsidR="00180438">
        <w:t>s</w:t>
      </w:r>
      <w:r w:rsidR="00D017BB">
        <w:t xml:space="preserve"> ex nihilo</w:t>
      </w:r>
      <w:r w:rsidR="00180438">
        <w:t xml:space="preserve"> qui sont généralement des consultants indépendants et des </w:t>
      </w:r>
      <w:r w:rsidR="007A57EF">
        <w:t>microentreprises</w:t>
      </w:r>
      <w:r w:rsidR="00180438">
        <w:t>.</w:t>
      </w:r>
      <w:r w:rsidR="00D017BB">
        <w:t xml:space="preserve"> </w:t>
      </w:r>
      <w:r w:rsidR="00180438">
        <w:t xml:space="preserve">91% des entreprises du </w:t>
      </w:r>
      <w:r w:rsidR="00E86B16">
        <w:t>secteur</w:t>
      </w:r>
      <w:r w:rsidR="00180438">
        <w:t xml:space="preserve"> ont entre 1 et 49 salariés et emploient 14% de l’effectif</w:t>
      </w:r>
      <w:r w:rsidR="00E86B16">
        <w:t xml:space="preserve"> global</w:t>
      </w:r>
      <w:r w:rsidR="00180438">
        <w:t xml:space="preserve">. Seulement 0,3 % des entreprises ont plus de 2000 salariés et emploient 44% de l’effectif. </w:t>
      </w:r>
      <w:r w:rsidR="00A60506">
        <w:t>80% des entreprises sont regroupées  dans 6 régions principales en France autour des pôles de compétitivité liés aux TIC et à la transformation digitale de l’économie.</w:t>
      </w:r>
      <w:r w:rsidR="00B53BF3">
        <w:t xml:space="preserve"> </w:t>
      </w:r>
    </w:p>
    <w:p w:rsidR="00785C9D" w:rsidRDefault="004A1BB6" w:rsidP="00607251">
      <w:r>
        <w:t xml:space="preserve">Nous </w:t>
      </w:r>
      <w:r w:rsidR="00607251">
        <w:t>proposons</w:t>
      </w:r>
      <w:r>
        <w:t xml:space="preserve"> dans cette fiche une </w:t>
      </w:r>
      <w:r w:rsidR="00D57DCC">
        <w:t xml:space="preserve">segmentation </w:t>
      </w:r>
      <w:r>
        <w:t xml:space="preserve">des entreprises </w:t>
      </w:r>
      <w:r w:rsidR="00D57DCC">
        <w:t>du secteur</w:t>
      </w:r>
      <w:r>
        <w:t xml:space="preserve">. Les services de conseils en informatiques sont caractérisés par des relations de longs termes avec les clients. Les entreprises de conseils doivent être référencées chez les acheteurs pour espérer décrocher un contrat de service. Il est difficile d’être référencé car d’abord il faut avoir une bonne réputation. Mais dès qu’une société de service est référencée chez un client comme </w:t>
      </w:r>
      <w:r w:rsidR="007A57EF">
        <w:t>sous-traitant</w:t>
      </w:r>
      <w:r>
        <w:t xml:space="preserve">, il devient difficile pour ce client de </w:t>
      </w:r>
      <w:r w:rsidR="00BD67BD">
        <w:t xml:space="preserve">la </w:t>
      </w:r>
      <w:r>
        <w:t xml:space="preserve">changer. En effet, lorsque les </w:t>
      </w:r>
      <w:r w:rsidR="00BD67BD">
        <w:t>ESN</w:t>
      </w:r>
      <w:r>
        <w:t xml:space="preserve"> commencent à connaitre le système d’information </w:t>
      </w:r>
      <w:r w:rsidR="00D57DCC">
        <w:t xml:space="preserve">et les processus métier </w:t>
      </w:r>
      <w:r>
        <w:t xml:space="preserve">du client et maitrisent </w:t>
      </w:r>
      <w:r w:rsidR="00BD67BD">
        <w:t>s</w:t>
      </w:r>
      <w:r>
        <w:t>es technologies et</w:t>
      </w:r>
      <w:r w:rsidR="00BD67BD">
        <w:t xml:space="preserve"> son</w:t>
      </w:r>
      <w:r>
        <w:t xml:space="preserve"> architecture, alors il devient difficile de les remplacer</w:t>
      </w:r>
      <w:r w:rsidR="00BD67BD">
        <w:t xml:space="preserve"> car ce sont des référents</w:t>
      </w:r>
      <w:r w:rsidR="00D57DCC">
        <w:t xml:space="preserve"> et le fait de les remplacer signifie qu’il faudrait subir le coût de formation du nouveau sous-traitant</w:t>
      </w:r>
      <w:r>
        <w:t>. Dans la réalité ce sont les consultants qui connaissent le système d’information du client. La vraie valeur ajoutée de la société de conseil est sa capacité à organiser</w:t>
      </w:r>
      <w:r w:rsidR="00D57DCC">
        <w:t>, à capitaliser les connaissances</w:t>
      </w:r>
      <w:r>
        <w:t xml:space="preserve"> et</w:t>
      </w:r>
      <w:r w:rsidR="00D57DCC">
        <w:t xml:space="preserve"> à</w:t>
      </w:r>
      <w:r>
        <w:t xml:space="preserve"> coordonner les différentes prestations de services de </w:t>
      </w:r>
      <w:r>
        <w:lastRenderedPageBreak/>
        <w:t xml:space="preserve">domaines différents des technologies de l’information pour garantir la réussite du projet informatique de leurs clients. </w:t>
      </w:r>
    </w:p>
    <w:p w:rsidR="004A1BB6" w:rsidRDefault="004A1BB6" w:rsidP="00BA0F6F">
      <w:r>
        <w:t xml:space="preserve">La sensibilité sur les prix dépend des segments des clients. En effet, les clients du secteur de la finance tirent les prix vers le haut alors que les clients de la grande distribution et de transport préfèrent des prix plus bas. </w:t>
      </w:r>
    </w:p>
    <w:p w:rsidR="009216B8" w:rsidRDefault="004A1BB6" w:rsidP="004A1BB6">
      <w:r>
        <w:t>Généralement les DSI des clients veulent optimiser leur</w:t>
      </w:r>
      <w:r w:rsidR="00BD67BD">
        <w:t>s</w:t>
      </w:r>
      <w:r>
        <w:t xml:space="preserve"> coût</w:t>
      </w:r>
      <w:r w:rsidR="00BD67BD">
        <w:t>s</w:t>
      </w:r>
      <w:r>
        <w:t xml:space="preserve"> informatique</w:t>
      </w:r>
      <w:r w:rsidR="0054793C">
        <w:t>s</w:t>
      </w:r>
      <w:r>
        <w:t xml:space="preserve"> et dans ce coût il y a une composante importante pour les prestations de service de conseil. Pour répondre à ce besoin, les ESN doivent baisser leur prix de prestation mais comme les menaces des consultants de partir sont crédibles, ces ESN voient leurs marges diminuer. Pour améliorer </w:t>
      </w:r>
      <w:r w:rsidR="0054793C">
        <w:t>leurs</w:t>
      </w:r>
      <w:r>
        <w:t xml:space="preserve"> résultats, </w:t>
      </w:r>
      <w:r w:rsidR="0054793C">
        <w:t xml:space="preserve">elles </w:t>
      </w:r>
      <w:r>
        <w:t xml:space="preserve">doivent s’organiser avec des méthodes agiles et </w:t>
      </w:r>
      <w:proofErr w:type="spellStart"/>
      <w:r>
        <w:t>lean</w:t>
      </w:r>
      <w:proofErr w:type="spellEnd"/>
      <w:r>
        <w:t xml:space="preserve"> pour baisser les coûts. De plus ils misent sur des stratégies RH pour attirer et fidéliser les consultants.</w:t>
      </w:r>
      <w:r w:rsidR="0054793C">
        <w:t xml:space="preserve"> </w:t>
      </w:r>
    </w:p>
    <w:p w:rsidR="0054793C" w:rsidRDefault="00CE2CD9" w:rsidP="00FB492E">
      <w:r>
        <w:t xml:space="preserve">Nous avons identifié </w:t>
      </w:r>
      <w:r w:rsidR="00FB492E">
        <w:t>cinq</w:t>
      </w:r>
      <w:r w:rsidR="0054793C">
        <w:t xml:space="preserve"> groupes stratégiques</w:t>
      </w:r>
      <w:r>
        <w:t xml:space="preserve"> </w:t>
      </w:r>
      <w:r w:rsidR="0054793C">
        <w:t xml:space="preserve">: </w:t>
      </w:r>
    </w:p>
    <w:p w:rsidR="0054793C" w:rsidRDefault="0054793C" w:rsidP="007A4139">
      <w:pPr>
        <w:pStyle w:val="ListParagraph"/>
        <w:numPr>
          <w:ilvl w:val="0"/>
          <w:numId w:val="31"/>
        </w:numPr>
      </w:pPr>
      <w:r w:rsidRPr="008004AD">
        <w:rPr>
          <w:b/>
          <w:u w:val="single"/>
        </w:rPr>
        <w:t xml:space="preserve">Groupe des </w:t>
      </w:r>
      <w:r w:rsidR="00E84F4E">
        <w:rPr>
          <w:b/>
          <w:u w:val="single"/>
        </w:rPr>
        <w:t xml:space="preserve">grands </w:t>
      </w:r>
      <w:r w:rsidR="0043285E" w:rsidRPr="008004AD">
        <w:rPr>
          <w:b/>
          <w:u w:val="single"/>
        </w:rPr>
        <w:t>généralistes</w:t>
      </w:r>
      <w:r w:rsidR="0043285E">
        <w:t xml:space="preserve"> qui sont des </w:t>
      </w:r>
      <w:r w:rsidR="008004AD">
        <w:t xml:space="preserve">grandes </w:t>
      </w:r>
      <w:r w:rsidR="0043285E">
        <w:t>entreprises qui cherche</w:t>
      </w:r>
      <w:r w:rsidR="008004AD">
        <w:t>nt</w:t>
      </w:r>
      <w:r w:rsidR="0043285E">
        <w:t xml:space="preserve"> à grandir encore et à s’installer dans plusieurs endroits géographique</w:t>
      </w:r>
      <w:r w:rsidR="008004AD">
        <w:t>. Ces entreprises ont des logiques de stratégies de domination par les coûts. Elles essayent de mettre en œuvre leur</w:t>
      </w:r>
      <w:r w:rsidR="005E60A8">
        <w:t>s</w:t>
      </w:r>
      <w:r w:rsidR="008004AD">
        <w:t xml:space="preserve"> stratégies à travers un système d’organisation et de management agile</w:t>
      </w:r>
      <w:r w:rsidR="005E60A8">
        <w:t xml:space="preserve"> et </w:t>
      </w:r>
      <w:proofErr w:type="spellStart"/>
      <w:r w:rsidR="005E60A8">
        <w:t>lean</w:t>
      </w:r>
      <w:proofErr w:type="spellEnd"/>
      <w:r w:rsidR="008004AD">
        <w:t xml:space="preserve">. </w:t>
      </w:r>
      <w:r w:rsidR="005E60A8">
        <w:t xml:space="preserve">Elles </w:t>
      </w:r>
      <w:r w:rsidR="007A57EF">
        <w:t>sous-traite</w:t>
      </w:r>
      <w:r w:rsidR="007A4139">
        <w:t>nt</w:t>
      </w:r>
      <w:r w:rsidR="005E60A8">
        <w:t xml:space="preserve"> ponctuellement chez des entreprises des groupes des spécialistes et des experts ou bien chez leur</w:t>
      </w:r>
      <w:r w:rsidR="007A4139">
        <w:t>s</w:t>
      </w:r>
      <w:r w:rsidR="005E60A8">
        <w:t xml:space="preserve"> filiales à l’étranger pour les services standardisés pour bénéficier de main d’œuvre moins cher. </w:t>
      </w:r>
    </w:p>
    <w:p w:rsidR="00CF3578" w:rsidRDefault="00CF3578" w:rsidP="007A4139">
      <w:pPr>
        <w:pStyle w:val="ListParagraph"/>
        <w:numPr>
          <w:ilvl w:val="0"/>
          <w:numId w:val="31"/>
        </w:numPr>
      </w:pPr>
      <w:r w:rsidRPr="008004AD">
        <w:rPr>
          <w:b/>
          <w:u w:val="single"/>
        </w:rPr>
        <w:t xml:space="preserve">Groupe des </w:t>
      </w:r>
      <w:r>
        <w:rPr>
          <w:b/>
          <w:u w:val="single"/>
        </w:rPr>
        <w:t xml:space="preserve">petits </w:t>
      </w:r>
      <w:r w:rsidRPr="008004AD">
        <w:rPr>
          <w:b/>
          <w:u w:val="single"/>
        </w:rPr>
        <w:t>généralistes</w:t>
      </w:r>
      <w:r>
        <w:t xml:space="preserve">, ce sont des entreprises qui se positionnent sur plusieurs segments de la demande et plusieurs offres de services mais qui n’ont pas accès </w:t>
      </w:r>
      <w:r w:rsidR="007A4139">
        <w:t xml:space="preserve">encore </w:t>
      </w:r>
      <w:r>
        <w:t xml:space="preserve">à des contrats grands comptes. Elles se différencient en se limitant à des clients de type PME/PMI. </w:t>
      </w:r>
      <w:r w:rsidR="00844CA8">
        <w:t>Ce sont des entreprises de taille intermédiaire qui suivent des stratégies mixte de différenciation sur quelques segments de clients et des stratégies d’optimisation de coût pour faire face aux problème de taux élevé de rotation de ses consultants</w:t>
      </w:r>
      <w:r w:rsidR="007A4139">
        <w:t>.</w:t>
      </w:r>
      <w:r w:rsidR="00844CA8">
        <w:t xml:space="preserve"> Ces entreprises commencent à grandir et sont sur le chemin des grandes entreprises du groupe des généralistes.</w:t>
      </w:r>
      <w:r w:rsidR="00402BA3">
        <w:t xml:space="preserve"> </w:t>
      </w:r>
    </w:p>
    <w:p w:rsidR="0043285E" w:rsidRDefault="0043285E" w:rsidP="002C5635">
      <w:pPr>
        <w:pStyle w:val="ListParagraph"/>
        <w:numPr>
          <w:ilvl w:val="0"/>
          <w:numId w:val="31"/>
        </w:numPr>
      </w:pPr>
      <w:r w:rsidRPr="008004AD">
        <w:rPr>
          <w:b/>
          <w:u w:val="single"/>
        </w:rPr>
        <w:t>Groupe des spécialistes métiers</w:t>
      </w:r>
      <w:r>
        <w:t xml:space="preserve">, c'est-à-dire qui offrent des services bien adaptés à </w:t>
      </w:r>
      <w:r w:rsidR="008004AD">
        <w:t xml:space="preserve">un </w:t>
      </w:r>
      <w:r>
        <w:t>segment de clientèle</w:t>
      </w:r>
      <w:r w:rsidR="008004AD">
        <w:t>.</w:t>
      </w:r>
      <w:r w:rsidR="005E60A8">
        <w:t xml:space="preserve"> </w:t>
      </w:r>
      <w:r w:rsidR="008004AD">
        <w:t xml:space="preserve">Ce sont des entreprises de taille moyenne et </w:t>
      </w:r>
      <w:r w:rsidR="005E60A8">
        <w:t>elles font la différence avec</w:t>
      </w:r>
      <w:r w:rsidR="008004AD">
        <w:t xml:space="preserve"> des consultants </w:t>
      </w:r>
      <w:r w:rsidR="002C5635">
        <w:t>ayant</w:t>
      </w:r>
      <w:r w:rsidR="008004AD">
        <w:t xml:space="preserve"> une double </w:t>
      </w:r>
      <w:r w:rsidR="00CE2CD9">
        <w:t xml:space="preserve">compétence métier et technique. </w:t>
      </w:r>
      <w:r w:rsidR="0086101F">
        <w:t xml:space="preserve">Elles essayent d’optimiser le temps de </w:t>
      </w:r>
      <w:r w:rsidR="0086101F" w:rsidRPr="007A57EF">
        <w:rPr>
          <w:i/>
          <w:iCs/>
        </w:rPr>
        <w:t>go-to-</w:t>
      </w:r>
      <w:proofErr w:type="spellStart"/>
      <w:r w:rsidR="0086101F" w:rsidRPr="007A57EF">
        <w:rPr>
          <w:i/>
          <w:iCs/>
        </w:rPr>
        <w:t>market</w:t>
      </w:r>
      <w:proofErr w:type="spellEnd"/>
      <w:r w:rsidR="0086101F">
        <w:t xml:space="preserve"> de nouvelles offres innovantes pour leurs clients. </w:t>
      </w:r>
    </w:p>
    <w:p w:rsidR="0043285E" w:rsidRDefault="0043285E" w:rsidP="00511E9E">
      <w:pPr>
        <w:pStyle w:val="ListParagraph"/>
        <w:numPr>
          <w:ilvl w:val="0"/>
          <w:numId w:val="31"/>
        </w:numPr>
      </w:pPr>
      <w:r w:rsidRPr="008004AD">
        <w:rPr>
          <w:b/>
          <w:u w:val="single"/>
        </w:rPr>
        <w:t xml:space="preserve">Groupe des </w:t>
      </w:r>
      <w:r w:rsidR="008004AD" w:rsidRPr="008004AD">
        <w:rPr>
          <w:b/>
          <w:u w:val="single"/>
        </w:rPr>
        <w:t>experts</w:t>
      </w:r>
      <w:r w:rsidRPr="008004AD">
        <w:rPr>
          <w:b/>
          <w:u w:val="single"/>
        </w:rPr>
        <w:t xml:space="preserve"> techniques</w:t>
      </w:r>
      <w:r>
        <w:t xml:space="preserve"> qui donnent des services d’expertise dans un domaine technique très précis </w:t>
      </w:r>
      <w:r w:rsidR="008004AD">
        <w:t>et qui peut être demandé par plusieurs segments de clients. Ce groupe est caractérisé par des entreprises de très petites taille</w:t>
      </w:r>
      <w:r w:rsidR="00CE2CD9">
        <w:t>s</w:t>
      </w:r>
      <w:r w:rsidR="008004AD">
        <w:t xml:space="preserve"> qui sont souvent des indépendants</w:t>
      </w:r>
      <w:r w:rsidR="005E60A8">
        <w:t xml:space="preserve"> certifiés. </w:t>
      </w:r>
    </w:p>
    <w:p w:rsidR="00FB492E" w:rsidRPr="00E23FD6" w:rsidRDefault="00FB492E" w:rsidP="007A4139">
      <w:pPr>
        <w:pStyle w:val="ListParagraph"/>
        <w:numPr>
          <w:ilvl w:val="0"/>
          <w:numId w:val="31"/>
        </w:numPr>
      </w:pPr>
      <w:r>
        <w:rPr>
          <w:b/>
          <w:u w:val="single"/>
        </w:rPr>
        <w:t xml:space="preserve">Groupe des </w:t>
      </w:r>
      <w:r w:rsidR="00901DF6">
        <w:rPr>
          <w:b/>
          <w:u w:val="single"/>
        </w:rPr>
        <w:t>talents</w:t>
      </w:r>
      <w:r w:rsidRPr="0057475A">
        <w:t xml:space="preserve"> </w:t>
      </w:r>
      <w:r>
        <w:t>ce sont des entreprises qui se différencie</w:t>
      </w:r>
      <w:r w:rsidR="007A4139">
        <w:t>nt</w:t>
      </w:r>
      <w:r>
        <w:t xml:space="preserve"> en travaillant sur des sujets complexes et qui n’ont pas de solution</w:t>
      </w:r>
      <w:r w:rsidR="009E7459">
        <w:t>s</w:t>
      </w:r>
      <w:r>
        <w:t xml:space="preserve"> standard</w:t>
      </w:r>
      <w:r w:rsidR="009E7459">
        <w:t>s</w:t>
      </w:r>
      <w:r w:rsidR="007A4139">
        <w:t xml:space="preserve"> encore</w:t>
      </w:r>
      <w:r>
        <w:t>. Ce sont des petites entreprises ou bien des filiales de groupe de conseil en stratégie et qui créent des synergies entre le business</w:t>
      </w:r>
      <w:r w:rsidR="00E23FD6">
        <w:t xml:space="preserve"> consulting et l’IT consulting</w:t>
      </w:r>
      <w:r>
        <w:t>. Ils facturent très cher leurs prestations de service.</w:t>
      </w:r>
      <w:r w:rsidR="00E23FD6">
        <w:t xml:space="preserve"> Ils sélectionnent bien leurs consultants qui doivent être diplômés des plus grandes écoles et qui ont des certificats </w:t>
      </w:r>
      <w:r w:rsidR="00E23FD6" w:rsidRPr="00E23FD6">
        <w:t>professionnels (comme ITIL, PMP, ISTQB, SAP etc.)</w:t>
      </w:r>
      <w:r w:rsidR="00387CEA">
        <w:t xml:space="preserve"> </w:t>
      </w:r>
    </w:p>
    <w:p w:rsidR="00785C9D" w:rsidRDefault="00785C9D" w:rsidP="00785C9D"/>
    <w:p w:rsidR="00785C9D" w:rsidRPr="00785C9D" w:rsidRDefault="00EA7314" w:rsidP="00067FC1">
      <w:pPr>
        <w:rPr>
          <w:b/>
          <w:bCs/>
          <w:i/>
          <w:iCs/>
          <w:u w:val="single"/>
        </w:rPr>
      </w:pPr>
      <w:r>
        <w:rPr>
          <w:b/>
          <w:bCs/>
          <w:i/>
          <w:iCs/>
          <w:u w:val="single"/>
        </w:rPr>
        <w:t>P</w:t>
      </w:r>
      <w:r w:rsidR="00785C9D" w:rsidRPr="00785C9D">
        <w:rPr>
          <w:b/>
          <w:bCs/>
          <w:i/>
          <w:iCs/>
          <w:u w:val="single"/>
        </w:rPr>
        <w:t>ronostics</w:t>
      </w:r>
    </w:p>
    <w:p w:rsidR="001A7C2D" w:rsidRDefault="00380BA0" w:rsidP="00F2671B">
      <w:r>
        <w:t>L</w:t>
      </w:r>
      <w:r w:rsidR="00F348AF">
        <w:t>es ESN n’échappent</w:t>
      </w:r>
      <w:r w:rsidR="001A7C2D">
        <w:t xml:space="preserve"> pas au phénomène de digitalisation</w:t>
      </w:r>
      <w:r w:rsidR="00A16E1A">
        <w:t>, elles doivent aussi se transformer</w:t>
      </w:r>
      <w:r w:rsidR="001A7C2D">
        <w:t xml:space="preserve">. </w:t>
      </w:r>
      <w:r w:rsidR="00F2671B" w:rsidRPr="00F2671B">
        <w:t>En effet, comme les entreprises des autres secteurs, elles doivent mettre en place des plateformes digitales pour faciliter la collaboration des équipes et des clients à travers des technologies modernes</w:t>
      </w:r>
      <w:r w:rsidR="001A7C2D">
        <w:t xml:space="preserve">. </w:t>
      </w:r>
    </w:p>
    <w:p w:rsidR="00555DC1" w:rsidRDefault="00380BA0" w:rsidP="001217AD">
      <w:r>
        <w:lastRenderedPageBreak/>
        <w:t>Nous pensons</w:t>
      </w:r>
      <w:r w:rsidR="00DD14C2">
        <w:t xml:space="preserve"> </w:t>
      </w:r>
      <w:r>
        <w:t>que ces entreprises risquent d’être victimes du phénomène d’</w:t>
      </w:r>
      <w:proofErr w:type="spellStart"/>
      <w:r>
        <w:t>ubérisation</w:t>
      </w:r>
      <w:proofErr w:type="spellEnd"/>
      <w:r>
        <w:t>. En effet, la volonté des DSI clientes de réduire les coûts et la pression des consultants qui veulent toujours gagner plus, les obligent à avoir des marges de plus en plus faibles</w:t>
      </w:r>
      <w:r w:rsidR="00A16E1A">
        <w:rPr>
          <w:rStyle w:val="FootnoteReference"/>
        </w:rPr>
        <w:footnoteReference w:id="4"/>
      </w:r>
      <w:r>
        <w:t>.</w:t>
      </w:r>
      <w:r w:rsidR="003D2BA7">
        <w:t xml:space="preserve"> </w:t>
      </w:r>
      <w:r w:rsidR="003D2BA7" w:rsidRPr="003D2BA7">
        <w:t xml:space="preserve">Les technologies de l'information </w:t>
      </w:r>
      <w:r w:rsidR="00CA609C">
        <w:t>évoluent</w:t>
      </w:r>
      <w:r w:rsidR="001217AD">
        <w:t xml:space="preserve"> rapidement</w:t>
      </w:r>
      <w:r w:rsidR="003D2BA7" w:rsidRPr="003D2BA7">
        <w:t xml:space="preserve"> dans cette première période de 3</w:t>
      </w:r>
      <w:r w:rsidR="003D2BA7" w:rsidRPr="003D2BA7">
        <w:rPr>
          <w:vertAlign w:val="superscript"/>
        </w:rPr>
        <w:t>ème</w:t>
      </w:r>
      <w:r w:rsidR="003D2BA7" w:rsidRPr="003D2BA7">
        <w:t xml:space="preserve"> révolution industrielle à cause de</w:t>
      </w:r>
      <w:r w:rsidR="00DD14C2">
        <w:t>s</w:t>
      </w:r>
      <w:r w:rsidR="003D2BA7" w:rsidRPr="003D2BA7">
        <w:t xml:space="preserve"> opportunités d'innovation</w:t>
      </w:r>
      <w:r w:rsidR="00326C02">
        <w:t xml:space="preserve"> techniques</w:t>
      </w:r>
      <w:r w:rsidR="003D2BA7" w:rsidRPr="003D2BA7">
        <w:t>. Pour l'instant le modèle économique des ESN</w:t>
      </w:r>
      <w:r w:rsidR="003D2BA7">
        <w:t xml:space="preserve"> qui consiste à recruter des consultants et à les placer chez les clients pendant la durée la plus longue possible,</w:t>
      </w:r>
      <w:r w:rsidR="003D2BA7" w:rsidRPr="003D2BA7">
        <w:t xml:space="preserve"> pourra résister encore </w:t>
      </w:r>
      <w:r w:rsidR="00326C02">
        <w:t>pendant cette étape de révolution</w:t>
      </w:r>
      <w:r w:rsidR="003D2BA7" w:rsidRPr="003D2BA7">
        <w:t>. Cette période se stabilisera et les technologies seront standardisées</w:t>
      </w:r>
      <w:r w:rsidR="00326C02">
        <w:t xml:space="preserve"> comme à chaque révolution industrielle</w:t>
      </w:r>
      <w:r w:rsidR="003D2BA7" w:rsidRPr="003D2BA7">
        <w:t>. La pression sur les prix va continuer et le modèle ne pourra plus résister.</w:t>
      </w:r>
      <w:r>
        <w:t xml:space="preserve"> Il est nécessaire de </w:t>
      </w:r>
      <w:proofErr w:type="spellStart"/>
      <w:r>
        <w:t>disrupter</w:t>
      </w:r>
      <w:proofErr w:type="spellEnd"/>
      <w:r>
        <w:t xml:space="preserve"> ce business model et trouver un moyen </w:t>
      </w:r>
      <w:r w:rsidR="00326C02">
        <w:t>pour</w:t>
      </w:r>
      <w:r>
        <w:t xml:space="preserve"> créer de la valeur pour les consultants</w:t>
      </w:r>
      <w:r w:rsidR="00A16E1A">
        <w:t xml:space="preserve"> qui veulent gagner plus</w:t>
      </w:r>
      <w:r>
        <w:t>, pour les clients</w:t>
      </w:r>
      <w:r w:rsidR="00A16E1A">
        <w:t xml:space="preserve"> qui veulent payer moins</w:t>
      </w:r>
      <w:r>
        <w:t xml:space="preserve"> et pour</w:t>
      </w:r>
      <w:r w:rsidR="00326C02">
        <w:t xml:space="preserve"> les ESN</w:t>
      </w:r>
      <w:r>
        <w:t xml:space="preserve"> </w:t>
      </w:r>
      <w:r w:rsidR="00DD14C2">
        <w:t>en même temps</w:t>
      </w:r>
      <w:r>
        <w:t xml:space="preserve">. </w:t>
      </w:r>
    </w:p>
    <w:p w:rsidR="007C1FD8" w:rsidRDefault="00380BA0" w:rsidP="009149A0">
      <w:r>
        <w:t xml:space="preserve">L’idée </w:t>
      </w:r>
      <w:r w:rsidR="00A16E1A">
        <w:t xml:space="preserve">est de mettre en place </w:t>
      </w:r>
      <w:r>
        <w:t>une plateforme</w:t>
      </w:r>
      <w:r w:rsidR="00EB49C7">
        <w:t xml:space="preserve"> (</w:t>
      </w:r>
      <w:r w:rsidR="00DD14C2">
        <w:t>qu</w:t>
      </w:r>
      <w:r w:rsidR="00326C02">
        <w:t>’</w:t>
      </w:r>
      <w:r w:rsidR="00DD14C2">
        <w:t xml:space="preserve">on </w:t>
      </w:r>
      <w:r w:rsidR="00326C02">
        <w:t xml:space="preserve">appelle ici </w:t>
      </w:r>
      <w:r w:rsidR="00EB49C7">
        <w:t>l’</w:t>
      </w:r>
      <w:proofErr w:type="spellStart"/>
      <w:r w:rsidR="00326C02">
        <w:t>Uber</w:t>
      </w:r>
      <w:proofErr w:type="spellEnd"/>
      <w:r w:rsidR="00EB49C7">
        <w:t xml:space="preserve"> des ESN)</w:t>
      </w:r>
      <w:r>
        <w:t xml:space="preserve"> qui fait le lien entre </w:t>
      </w:r>
      <w:r w:rsidR="00A16E1A">
        <w:t xml:space="preserve">les </w:t>
      </w:r>
      <w:r>
        <w:t>consultants</w:t>
      </w:r>
      <w:r w:rsidR="005F2AA7">
        <w:t>,</w:t>
      </w:r>
      <w:r>
        <w:t xml:space="preserve"> </w:t>
      </w:r>
      <w:r w:rsidR="00A16E1A">
        <w:t xml:space="preserve">qui deviennent </w:t>
      </w:r>
      <w:r w:rsidRPr="00326C02">
        <w:rPr>
          <w:u w:val="single"/>
        </w:rPr>
        <w:t>indépendants</w:t>
      </w:r>
      <w:r w:rsidR="005F2AA7">
        <w:rPr>
          <w:u w:val="single"/>
        </w:rPr>
        <w:t>,</w:t>
      </w:r>
      <w:r>
        <w:t xml:space="preserve"> et les clients avec un système de « e-réputation » (c'est-à-dire de notation et recommandation des services </w:t>
      </w:r>
      <w:r w:rsidR="00DD14C2">
        <w:t>offerts</w:t>
      </w:r>
      <w:r>
        <w:t xml:space="preserve">). </w:t>
      </w:r>
      <w:r w:rsidR="00EB49C7">
        <w:t xml:space="preserve">A travers cette plateforme, les consultants pourront choisir leur missions et pourrons fixer leur prix. </w:t>
      </w:r>
      <w:r w:rsidR="002B46D5">
        <w:t xml:space="preserve">Ce nouveau </w:t>
      </w:r>
      <w:proofErr w:type="spellStart"/>
      <w:r w:rsidR="00326C02">
        <w:t>U</w:t>
      </w:r>
      <w:r w:rsidR="002B46D5">
        <w:t>ber</w:t>
      </w:r>
      <w:proofErr w:type="spellEnd"/>
      <w:r w:rsidR="002B46D5">
        <w:t xml:space="preserve"> </w:t>
      </w:r>
      <w:r w:rsidR="00DD14C2">
        <w:t>recevra</w:t>
      </w:r>
      <w:r w:rsidR="002B46D5">
        <w:t xml:space="preserve"> </w:t>
      </w:r>
      <w:r w:rsidR="00326C02">
        <w:t>des cash-flows</w:t>
      </w:r>
      <w:r w:rsidR="002B46D5">
        <w:t xml:space="preserve"> à travers des </w:t>
      </w:r>
      <w:r w:rsidR="00326C02">
        <w:t>commissions</w:t>
      </w:r>
      <w:r w:rsidR="002B46D5">
        <w:t xml:space="preserve"> sur chaque transaction entre un consultant et son client. Il existe déjà des plateformes de freelance qui propose</w:t>
      </w:r>
      <w:r w:rsidR="00294B24">
        <w:t>nt</w:t>
      </w:r>
      <w:r w:rsidR="002B46D5">
        <w:t xml:space="preserve"> </w:t>
      </w:r>
      <w:r w:rsidR="00A16E1A">
        <w:t>des missions à des indépendants</w:t>
      </w:r>
      <w:r w:rsidR="002B46D5">
        <w:t xml:space="preserve">. Mais cet </w:t>
      </w:r>
      <w:proofErr w:type="spellStart"/>
      <w:r w:rsidR="00326C02">
        <w:t>Uber</w:t>
      </w:r>
      <w:proofErr w:type="spellEnd"/>
      <w:r w:rsidR="002B46D5">
        <w:t xml:space="preserve"> des ESN aura une plateforme plus riche sous forme de réseau social et </w:t>
      </w:r>
      <w:r w:rsidR="00A16E1A">
        <w:t>proposes</w:t>
      </w:r>
      <w:r w:rsidR="002B46D5">
        <w:t xml:space="preserve"> d</w:t>
      </w:r>
      <w:r w:rsidR="00A16E1A">
        <w:t>es</w:t>
      </w:r>
      <w:r w:rsidR="002B46D5">
        <w:t xml:space="preserve"> services</w:t>
      </w:r>
      <w:r w:rsidR="00A16E1A">
        <w:rPr>
          <w:rStyle w:val="FootnoteReference"/>
        </w:rPr>
        <w:footnoteReference w:id="5"/>
      </w:r>
      <w:r w:rsidR="002B46D5">
        <w:t xml:space="preserve"> pour les consultants comme des formations sous forme de MOOC</w:t>
      </w:r>
      <w:r w:rsidR="00326C02">
        <w:rPr>
          <w:rStyle w:val="FootnoteReference"/>
        </w:rPr>
        <w:footnoteReference w:id="6"/>
      </w:r>
      <w:r w:rsidR="002B46D5">
        <w:t xml:space="preserve"> </w:t>
      </w:r>
      <w:r w:rsidR="00A16E1A">
        <w:t>avec</w:t>
      </w:r>
      <w:r w:rsidR="002B46D5">
        <w:t xml:space="preserve"> certifications et des services de gestion</w:t>
      </w:r>
      <w:r w:rsidR="008534C4">
        <w:rPr>
          <w:rStyle w:val="FootnoteReference"/>
        </w:rPr>
        <w:footnoteReference w:id="7"/>
      </w:r>
      <w:r w:rsidR="002B46D5">
        <w:t xml:space="preserve"> et de collaboration en ligne avec d’autres consultants</w:t>
      </w:r>
      <w:r w:rsidR="00A16E1A">
        <w:t xml:space="preserve">. </w:t>
      </w:r>
      <w:r w:rsidR="008534C4">
        <w:t>Cette plateforme</w:t>
      </w:r>
      <w:r w:rsidR="00A16E1A">
        <w:t xml:space="preserve"> proposera aussi des accès aux plateformes des partenaires comme Gartner, PAC, IDC etc. qui sont des </w:t>
      </w:r>
      <w:r w:rsidR="003D2BA7">
        <w:t xml:space="preserve">outils très </w:t>
      </w:r>
      <w:r w:rsidR="008534C4">
        <w:t>intéressants</w:t>
      </w:r>
      <w:r w:rsidR="003D2BA7">
        <w:t xml:space="preserve"> pour les consultants car c’est une source de formation et de </w:t>
      </w:r>
      <w:r w:rsidR="008534C4">
        <w:t>veille</w:t>
      </w:r>
      <w:r w:rsidR="003D2BA7">
        <w:t xml:space="preserve"> </w:t>
      </w:r>
      <w:r w:rsidR="008534C4">
        <w:t>technologique</w:t>
      </w:r>
      <w:r w:rsidR="00DD14C2">
        <w:t>.</w:t>
      </w:r>
      <w:r w:rsidR="00A16E1A">
        <w:t xml:space="preserve"> </w:t>
      </w:r>
      <w:r w:rsidR="003D2BA7">
        <w:t xml:space="preserve">Cet </w:t>
      </w:r>
      <w:proofErr w:type="spellStart"/>
      <w:r w:rsidR="008534C4">
        <w:t>U</w:t>
      </w:r>
      <w:r w:rsidR="003D2BA7">
        <w:t>ber</w:t>
      </w:r>
      <w:proofErr w:type="spellEnd"/>
      <w:r w:rsidR="003D2BA7">
        <w:t xml:space="preserve"> aura une très petite marge par transaction (c'est-à-dire par consultation) mais beaucoup plus de transactions qu</w:t>
      </w:r>
      <w:r w:rsidR="00DD14C2">
        <w:t>e les plus grandes ESN d’aujourd’hui</w:t>
      </w:r>
      <w:r w:rsidR="003D2BA7">
        <w:t xml:space="preserve">. </w:t>
      </w:r>
      <w:r w:rsidR="009149A0">
        <w:t>Le</w:t>
      </w:r>
      <w:r w:rsidR="003D2BA7" w:rsidRPr="003D2BA7">
        <w:t xml:space="preserve"> commercial de la vieille ESN qui cache les meilleu</w:t>
      </w:r>
      <w:r w:rsidR="00570321">
        <w:t>res missions et ne les propose</w:t>
      </w:r>
      <w:r w:rsidR="003D2BA7" w:rsidRPr="003D2BA7">
        <w:t xml:space="preserve"> qu'à ses amis</w:t>
      </w:r>
      <w:r w:rsidR="008E6074">
        <w:t> </w:t>
      </w:r>
      <w:r w:rsidR="00742093">
        <w:t xml:space="preserve">sera remplacé par un algorithme </w:t>
      </w:r>
      <w:r w:rsidR="009149A0">
        <w:t xml:space="preserve">de </w:t>
      </w:r>
      <w:proofErr w:type="spellStart"/>
      <w:r w:rsidR="009149A0">
        <w:t>matching</w:t>
      </w:r>
      <w:proofErr w:type="spellEnd"/>
      <w:r w:rsidR="009149A0">
        <w:t xml:space="preserve"> </w:t>
      </w:r>
      <w:r w:rsidR="00667352">
        <w:t xml:space="preserve">plus </w:t>
      </w:r>
      <w:r w:rsidR="00742093">
        <w:t>intelligent</w:t>
      </w:r>
      <w:r w:rsidR="009149A0">
        <w:t>.</w:t>
      </w:r>
      <w:r w:rsidR="00742093">
        <w:t xml:space="preserve"> </w:t>
      </w:r>
      <w:r w:rsidR="00C4099D">
        <w:t>Cet algorithme</w:t>
      </w:r>
      <w:r w:rsidR="00742093">
        <w:t xml:space="preserve"> n’est pas seulement plus </w:t>
      </w:r>
      <w:r w:rsidR="009149A0">
        <w:t>efficient</w:t>
      </w:r>
      <w:r w:rsidR="00742093">
        <w:t xml:space="preserve"> mais</w:t>
      </w:r>
      <w:r w:rsidR="00C4099D">
        <w:t xml:space="preserve"> en plus</w:t>
      </w:r>
      <w:r w:rsidR="00742093">
        <w:t xml:space="preserve"> </w:t>
      </w:r>
      <w:r w:rsidR="00C4099D">
        <w:t>il</w:t>
      </w:r>
      <w:r w:rsidR="009149A0">
        <w:t xml:space="preserve"> travaille gratuitement, </w:t>
      </w:r>
      <w:r w:rsidR="00742093">
        <w:t xml:space="preserve">ou </w:t>
      </w:r>
      <w:r w:rsidR="009149A0">
        <w:t>en tout cas avec un coût beaucoup plus faible</w:t>
      </w:r>
      <w:r w:rsidR="00742093">
        <w:t>.</w:t>
      </w:r>
      <w:r w:rsidR="003D2BA7" w:rsidRPr="003D2BA7">
        <w:t xml:space="preserve"> </w:t>
      </w:r>
      <w:r w:rsidR="008534C4">
        <w:t>L</w:t>
      </w:r>
      <w:r w:rsidR="003D2BA7" w:rsidRPr="003D2BA7">
        <w:t>e chef d</w:t>
      </w:r>
      <w:r w:rsidR="008534C4">
        <w:t xml:space="preserve">’un </w:t>
      </w:r>
      <w:r w:rsidR="003D2BA7" w:rsidRPr="003D2BA7">
        <w:t xml:space="preserve">projet </w:t>
      </w:r>
      <w:r w:rsidR="008534C4">
        <w:t xml:space="preserve">digital </w:t>
      </w:r>
      <w:r w:rsidR="003D2BA7" w:rsidRPr="003D2BA7">
        <w:t xml:space="preserve">sera un consultant indépendant </w:t>
      </w:r>
      <w:r w:rsidR="008534C4">
        <w:t xml:space="preserve">aussi </w:t>
      </w:r>
      <w:r w:rsidR="008E6074">
        <w:t>et</w:t>
      </w:r>
      <w:r w:rsidR="003D2BA7" w:rsidRPr="003D2BA7">
        <w:t xml:space="preserve"> pourra </w:t>
      </w:r>
      <w:r w:rsidR="008E6074">
        <w:t>communiquer avec</w:t>
      </w:r>
      <w:r w:rsidR="003D2BA7" w:rsidRPr="003D2BA7">
        <w:t xml:space="preserve"> son équipe en ligne. Cette plateforme permettra de constituer des équipes de projets venants de tous les pays pour collaborer sur </w:t>
      </w:r>
      <w:r w:rsidR="008E6074">
        <w:t>un même projet pour un client</w:t>
      </w:r>
      <w:r w:rsidR="003D2BA7" w:rsidRPr="003D2BA7">
        <w:t xml:space="preserve">. </w:t>
      </w:r>
    </w:p>
    <w:p w:rsidR="003D2BA7" w:rsidRDefault="003D2BA7" w:rsidP="001217AD">
      <w:r w:rsidRPr="003D2BA7">
        <w:t xml:space="preserve">La réputation est un facteur clé de succès dans ce secteur. Les consultants seront incités à offrir des prestations de qualité car ils seront notés par les clients. </w:t>
      </w:r>
    </w:p>
    <w:p w:rsidR="008534C4" w:rsidRDefault="008534C4" w:rsidP="008F4C1B">
      <w:r>
        <w:t>L’existence potentielle</w:t>
      </w:r>
      <w:r w:rsidR="002B46D5">
        <w:t xml:space="preserve"> </w:t>
      </w:r>
      <w:r>
        <w:t xml:space="preserve">de cet </w:t>
      </w:r>
      <w:proofErr w:type="spellStart"/>
      <w:r>
        <w:t>U</w:t>
      </w:r>
      <w:r w:rsidR="002B46D5">
        <w:t>ber</w:t>
      </w:r>
      <w:proofErr w:type="spellEnd"/>
      <w:r w:rsidR="002B46D5">
        <w:t xml:space="preserve"> menace principalement l</w:t>
      </w:r>
      <w:r w:rsidR="008E6074">
        <w:t>es grandes entreprises</w:t>
      </w:r>
      <w:r w:rsidR="002B46D5">
        <w:t xml:space="preserve">. </w:t>
      </w:r>
      <w:r>
        <w:t>Aujourd’hui c</w:t>
      </w:r>
      <w:r w:rsidR="002B46D5">
        <w:t xml:space="preserve">es entreprises ont les moyens pour investir dans cette plateforme. La grande entreprise qui lancera sa première plateforme </w:t>
      </w:r>
      <w:r w:rsidR="003D2BA7">
        <w:t>pourra l’alimenter</w:t>
      </w:r>
      <w:r w:rsidR="002B46D5">
        <w:t xml:space="preserve"> d’abord avec ses consultants et l’ouvrira ensuite </w:t>
      </w:r>
      <w:r w:rsidR="00F348AF">
        <w:t>aux consultants des autres entreprises</w:t>
      </w:r>
      <w:r>
        <w:t>. Ce qui lui permet d’absorber des concurrents à travers l’attraction de ses consultants</w:t>
      </w:r>
      <w:r w:rsidR="001E6A50">
        <w:t xml:space="preserve"> et de grandir exponentielle</w:t>
      </w:r>
      <w:r w:rsidR="008F4C1B">
        <w:t>ment</w:t>
      </w:r>
      <w:r w:rsidR="001E6A50">
        <w:t xml:space="preserve"> </w:t>
      </w:r>
      <w:r w:rsidR="008F4C1B">
        <w:t>par</w:t>
      </w:r>
      <w:r w:rsidR="001E6A50">
        <w:t xml:space="preserve"> effet réseau. </w:t>
      </w:r>
    </w:p>
    <w:p w:rsidR="001E6A50" w:rsidRDefault="001E6A50" w:rsidP="001E6A50"/>
    <w:p w:rsidR="00380BA0" w:rsidRDefault="008534C4" w:rsidP="008E6074">
      <w:r>
        <w:t>M</w:t>
      </w:r>
      <w:r w:rsidR="00F348AF">
        <w:t xml:space="preserve">ême si ces grandes entreprises refusent de </w:t>
      </w:r>
      <w:proofErr w:type="spellStart"/>
      <w:r w:rsidR="00F348AF">
        <w:t>disrupter</w:t>
      </w:r>
      <w:proofErr w:type="spellEnd"/>
      <w:r w:rsidR="00F348AF">
        <w:t xml:space="preserve"> leur modèle </w:t>
      </w:r>
      <w:r w:rsidR="005F321F">
        <w:t>actuel</w:t>
      </w:r>
      <w:r w:rsidR="00F348AF">
        <w:t xml:space="preserve">, le réseau social professionnel </w:t>
      </w:r>
      <w:proofErr w:type="spellStart"/>
      <w:r w:rsidR="005F321F">
        <w:t>L</w:t>
      </w:r>
      <w:r w:rsidR="00F348AF">
        <w:t>inkedin</w:t>
      </w:r>
      <w:proofErr w:type="spellEnd"/>
      <w:r w:rsidR="005F321F">
        <w:rPr>
          <w:rStyle w:val="FootnoteReference"/>
        </w:rPr>
        <w:footnoteReference w:id="8"/>
      </w:r>
      <w:r w:rsidR="00F348AF">
        <w:t xml:space="preserve"> est bien plac</w:t>
      </w:r>
      <w:r w:rsidR="005F321F">
        <w:t>é</w:t>
      </w:r>
      <w:r w:rsidR="00F348AF">
        <w:t xml:space="preserve"> pour le faire </w:t>
      </w:r>
      <w:r w:rsidR="005F321F">
        <w:t>à leur place</w:t>
      </w:r>
      <w:r w:rsidR="00F348AF">
        <w:t xml:space="preserve"> ! En effet, </w:t>
      </w:r>
      <w:proofErr w:type="spellStart"/>
      <w:r w:rsidR="005F321F">
        <w:t>L</w:t>
      </w:r>
      <w:r w:rsidR="00F348AF">
        <w:t>inkedin</w:t>
      </w:r>
      <w:proofErr w:type="spellEnd"/>
      <w:r w:rsidR="00F348AF">
        <w:t xml:space="preserve"> a déjà racheté des entreprises de formations en ligne comme video2brain</w:t>
      </w:r>
      <w:r w:rsidR="005F321F">
        <w:t>.com</w:t>
      </w:r>
      <w:r w:rsidR="00F348AF">
        <w:t xml:space="preserve"> et Lynda.com qui </w:t>
      </w:r>
      <w:proofErr w:type="gramStart"/>
      <w:r w:rsidR="00F348AF">
        <w:t>sont</w:t>
      </w:r>
      <w:proofErr w:type="gramEnd"/>
      <w:r w:rsidR="00F348AF">
        <w:t xml:space="preserve"> des services très utiles pour les consultants </w:t>
      </w:r>
      <w:r w:rsidR="005F321F">
        <w:t>qui veulent se former en</w:t>
      </w:r>
      <w:r w:rsidR="00F348AF">
        <w:t xml:space="preserve"> continue. Le futur nous dira ce qui se passera dans ce secteur. </w:t>
      </w:r>
    </w:p>
    <w:p w:rsidR="001A7C2D" w:rsidRDefault="001A7C2D" w:rsidP="008004AD"/>
    <w:p w:rsidR="007A57EF" w:rsidRPr="007A57EF" w:rsidRDefault="007A57EF" w:rsidP="007A57EF">
      <w:pPr>
        <w:rPr>
          <w:b/>
          <w:bCs/>
          <w:i/>
          <w:iCs/>
          <w:u w:val="single"/>
        </w:rPr>
      </w:pPr>
      <w:r w:rsidRPr="007A57EF">
        <w:rPr>
          <w:b/>
          <w:bCs/>
          <w:i/>
          <w:iCs/>
          <w:u w:val="single"/>
        </w:rPr>
        <w:t>R</w:t>
      </w:r>
      <w:r>
        <w:rPr>
          <w:b/>
          <w:bCs/>
          <w:i/>
          <w:iCs/>
          <w:u w:val="single"/>
        </w:rPr>
        <w:t>éserves</w:t>
      </w:r>
      <w:r w:rsidRPr="007A57EF">
        <w:rPr>
          <w:b/>
          <w:bCs/>
          <w:i/>
          <w:iCs/>
          <w:u w:val="single"/>
        </w:rPr>
        <w:t xml:space="preserve"> </w:t>
      </w:r>
    </w:p>
    <w:p w:rsidR="007A57EF" w:rsidRDefault="007A4139" w:rsidP="001A21DD">
      <w:r>
        <w:t xml:space="preserve">Les résultats de </w:t>
      </w:r>
      <w:r w:rsidR="007A57EF">
        <w:t xml:space="preserve">cette étude </w:t>
      </w:r>
      <w:r>
        <w:t>sont</w:t>
      </w:r>
      <w:r w:rsidR="00387CEA">
        <w:t xml:space="preserve"> à prendre en tenant compte des </w:t>
      </w:r>
      <w:r w:rsidR="001A21DD">
        <w:t>réserves</w:t>
      </w:r>
      <w:r w:rsidR="00387CEA">
        <w:t xml:space="preserve"> suivantes :</w:t>
      </w:r>
      <w:r>
        <w:t xml:space="preserve"> </w:t>
      </w:r>
    </w:p>
    <w:p w:rsidR="00834452" w:rsidRDefault="001A21DD" w:rsidP="008E6074">
      <w:pPr>
        <w:pStyle w:val="ListParagraph"/>
        <w:numPr>
          <w:ilvl w:val="0"/>
          <w:numId w:val="33"/>
        </w:numPr>
      </w:pPr>
      <w:r>
        <w:t>L</w:t>
      </w:r>
      <w:r w:rsidR="00834452">
        <w:t xml:space="preserve">a principale réserve est que l’analyse du secteur 6202A seul n’est pas très pertinente pour regrouper les </w:t>
      </w:r>
      <w:r w:rsidR="008E6074">
        <w:t>ESN</w:t>
      </w:r>
      <w:r w:rsidR="00834452">
        <w:t>. En effet, les entreprises de ce secteur ne font pas que des activités de c</w:t>
      </w:r>
      <w:r>
        <w:t>onseils</w:t>
      </w:r>
      <w:r w:rsidR="008E6074">
        <w:t>.</w:t>
      </w:r>
      <w:r>
        <w:t xml:space="preserve"> </w:t>
      </w:r>
      <w:r w:rsidR="008E6074">
        <w:t>L</w:t>
      </w:r>
      <w:r>
        <w:t>e conseil seul</w:t>
      </w:r>
      <w:r w:rsidR="00834452">
        <w:t xml:space="preserve"> n’apporte pas grand-chose au</w:t>
      </w:r>
      <w:r w:rsidR="008E6074">
        <w:t>x</w:t>
      </w:r>
      <w:r w:rsidR="00834452">
        <w:t xml:space="preserve"> client</w:t>
      </w:r>
      <w:r w:rsidR="008E6074">
        <w:t>s qui</w:t>
      </w:r>
      <w:r w:rsidR="00834452">
        <w:t xml:space="preserve"> veulent aussi des choses concrètes. C'est-à-dire de vraie mise en place de </w:t>
      </w:r>
      <w:r>
        <w:t>SI</w:t>
      </w:r>
      <w:r w:rsidR="00834452">
        <w:t xml:space="preserve"> qui sont de</w:t>
      </w:r>
      <w:r w:rsidR="008E6074">
        <w:t xml:space="preserve">s activités de secteurs voisins, </w:t>
      </w:r>
    </w:p>
    <w:p w:rsidR="007A57EF" w:rsidRDefault="007A57EF" w:rsidP="007A57EF">
      <w:pPr>
        <w:pStyle w:val="ListParagraph"/>
        <w:numPr>
          <w:ilvl w:val="0"/>
          <w:numId w:val="33"/>
        </w:numPr>
      </w:pPr>
      <w:r>
        <w:t xml:space="preserve">Pour certains grands groupes nous devons </w:t>
      </w:r>
      <w:r w:rsidR="003A04F2">
        <w:t xml:space="preserve">analyser encore les rapports de gestion pour </w:t>
      </w:r>
      <w:r>
        <w:t>distinguer la « business </w:t>
      </w:r>
      <w:proofErr w:type="spellStart"/>
      <w:r>
        <w:t>strategy</w:t>
      </w:r>
      <w:proofErr w:type="spellEnd"/>
      <w:r>
        <w:t> » de la « </w:t>
      </w:r>
      <w:proofErr w:type="spellStart"/>
      <w:r>
        <w:t>corporate</w:t>
      </w:r>
      <w:proofErr w:type="spellEnd"/>
      <w:r>
        <w:t xml:space="preserve"> </w:t>
      </w:r>
      <w:proofErr w:type="spellStart"/>
      <w:r>
        <w:t>strategy</w:t>
      </w:r>
      <w:proofErr w:type="spellEnd"/>
      <w:r>
        <w:t xml:space="preserve"> », </w:t>
      </w:r>
    </w:p>
    <w:p w:rsidR="00233961" w:rsidRDefault="007A57EF" w:rsidP="00233961">
      <w:pPr>
        <w:pStyle w:val="ListParagraph"/>
        <w:numPr>
          <w:ilvl w:val="0"/>
          <w:numId w:val="33"/>
        </w:numPr>
      </w:pPr>
      <w:r>
        <w:t>Pour les plus petites entreprise, il nous manque des informations stratégiques pour pouvoir les positionner</w:t>
      </w:r>
      <w:r w:rsidR="003A04F2">
        <w:t xml:space="preserve"> avec plus de précision</w:t>
      </w:r>
      <w:r w:rsidR="00533CB8">
        <w:t>,</w:t>
      </w:r>
      <w:r>
        <w:t xml:space="preserve"> </w:t>
      </w:r>
    </w:p>
    <w:p w:rsidR="00533CB8" w:rsidRDefault="00F40326" w:rsidP="008E6074">
      <w:pPr>
        <w:pStyle w:val="ListParagraph"/>
        <w:numPr>
          <w:ilvl w:val="0"/>
          <w:numId w:val="33"/>
        </w:numPr>
      </w:pPr>
      <w:r>
        <w:t xml:space="preserve">Nous avons </w:t>
      </w:r>
      <w:r w:rsidR="008534C4">
        <w:t xml:space="preserve">construit un </w:t>
      </w:r>
      <w:r>
        <w:t xml:space="preserve">échantillon </w:t>
      </w:r>
      <w:r w:rsidR="008534C4">
        <w:t>d’entreprise en sélectionnant le</w:t>
      </w:r>
      <w:r>
        <w:t xml:space="preserve"> top 100 classé selon </w:t>
      </w:r>
      <w:r w:rsidR="008502C8">
        <w:t>la</w:t>
      </w:r>
      <w:r>
        <w:t xml:space="preserve"> part de marché. Cette méthode d’échantillonnage n’est certainement pas la plus pertinente </w:t>
      </w:r>
      <w:r w:rsidR="003A04F2">
        <w:t xml:space="preserve">d’un point de vue </w:t>
      </w:r>
      <w:r>
        <w:t>scientifiquement car les autres 20 000 très petites</w:t>
      </w:r>
      <w:r w:rsidR="008E6074">
        <w:t xml:space="preserve"> entreprises</w:t>
      </w:r>
      <w:r>
        <w:t xml:space="preserve"> </w:t>
      </w:r>
      <w:r w:rsidR="008502C8">
        <w:t>par rapport au top 100</w:t>
      </w:r>
      <w:r>
        <w:t xml:space="preserve"> </w:t>
      </w:r>
      <w:r w:rsidR="008502C8">
        <w:t xml:space="preserve">et </w:t>
      </w:r>
      <w:r>
        <w:t xml:space="preserve">qui ont près de 30% du marché ne sont pas </w:t>
      </w:r>
      <w:r w:rsidR="008E6074">
        <w:t>représentées</w:t>
      </w:r>
      <w:r>
        <w:rPr>
          <w:rStyle w:val="FootnoteReference"/>
        </w:rPr>
        <w:footnoteReference w:id="9"/>
      </w:r>
      <w:r w:rsidR="003A04F2">
        <w:t>,</w:t>
      </w:r>
      <w:r w:rsidR="00533CB8">
        <w:t xml:space="preserve"> </w:t>
      </w:r>
    </w:p>
    <w:p w:rsidR="00400AEB" w:rsidRDefault="003A04F2" w:rsidP="008E6074">
      <w:pPr>
        <w:pStyle w:val="ListParagraph"/>
        <w:numPr>
          <w:ilvl w:val="0"/>
          <w:numId w:val="33"/>
        </w:numPr>
      </w:pPr>
      <w:r>
        <w:t xml:space="preserve">Nous avons essayé d’appliquer la méthode fondée sur les stratégies génériques et la méthode fondée sur les modalités de concurrence mais par manque de temps et d’information, cette dernière </w:t>
      </w:r>
      <w:r w:rsidR="008E6074">
        <w:t>méthode</w:t>
      </w:r>
      <w:r>
        <w:t xml:space="preserve"> n’est pas</w:t>
      </w:r>
      <w:r w:rsidR="00EE4D08">
        <w:t xml:space="preserve"> terminée encore. </w:t>
      </w:r>
    </w:p>
    <w:p w:rsidR="00806CF3" w:rsidRDefault="00E05786" w:rsidP="001475ED">
      <w:pPr>
        <w:pStyle w:val="Heading1"/>
      </w:pPr>
      <w:bookmarkStart w:id="8" w:name="_Ref451047305"/>
      <w:bookmarkStart w:id="9" w:name="_Toc451134001"/>
      <w:r>
        <w:lastRenderedPageBreak/>
        <w:t>Le</w:t>
      </w:r>
      <w:r w:rsidR="00287ADF">
        <w:t>s</w:t>
      </w:r>
      <w:r>
        <w:t xml:space="preserve"> </w:t>
      </w:r>
      <w:r w:rsidR="00287ADF">
        <w:t>espaces</w:t>
      </w:r>
      <w:r>
        <w:t xml:space="preserve"> </w:t>
      </w:r>
      <w:bookmarkEnd w:id="8"/>
      <w:r w:rsidR="001475ED">
        <w:t>stratégiques</w:t>
      </w:r>
      <w:bookmarkEnd w:id="9"/>
      <w:r>
        <w:t xml:space="preserve"> </w:t>
      </w:r>
    </w:p>
    <w:p w:rsidR="00C60FE2" w:rsidRDefault="00196AA0" w:rsidP="00C60FE2">
      <w:pPr>
        <w:pStyle w:val="Heading2"/>
      </w:pPr>
      <w:bookmarkStart w:id="10" w:name="_Ref451048565"/>
      <w:bookmarkStart w:id="11" w:name="_Toc451134002"/>
      <w:r>
        <w:t>Méthode des</w:t>
      </w:r>
      <w:r w:rsidR="00E05786">
        <w:t xml:space="preserve"> modalités de concurrences</w:t>
      </w:r>
      <w:bookmarkEnd w:id="10"/>
      <w:bookmarkEnd w:id="11"/>
      <w:r w:rsidR="00E05786">
        <w:t xml:space="preserve"> </w:t>
      </w:r>
    </w:p>
    <w:p w:rsidR="00F33FEA" w:rsidRDefault="00F33FEA" w:rsidP="00F33FEA">
      <w:pPr>
        <w:pStyle w:val="Heading3"/>
      </w:pPr>
      <w:bookmarkStart w:id="12" w:name="_Toc451134003"/>
      <w:r>
        <w:t>Analyse des prix des prestations de service</w:t>
      </w:r>
      <w:bookmarkEnd w:id="12"/>
      <w:r>
        <w:t xml:space="preserve">  </w:t>
      </w:r>
    </w:p>
    <w:p w:rsidR="00E05786" w:rsidRDefault="002743B9" w:rsidP="00E05786">
      <w:pPr>
        <w:pStyle w:val="NoSpacing"/>
      </w:pPr>
      <w:r>
        <w:rPr>
          <w:noProof/>
          <w:lang w:eastAsia="fr-FR"/>
        </w:rPr>
        <w:drawing>
          <wp:inline distT="0" distB="0" distL="0" distR="0" wp14:anchorId="79FA745A" wp14:editId="184EA10D">
            <wp:extent cx="5422789" cy="3550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1178" cy="3562904"/>
                    </a:xfrm>
                    <a:prstGeom prst="rect">
                      <a:avLst/>
                    </a:prstGeom>
                  </pic:spPr>
                </pic:pic>
              </a:graphicData>
            </a:graphic>
          </wp:inline>
        </w:drawing>
      </w:r>
    </w:p>
    <w:p w:rsidR="00E05786" w:rsidRDefault="00E05786" w:rsidP="00E05786">
      <w:pPr>
        <w:pStyle w:val="NoSpacing"/>
      </w:pPr>
    </w:p>
    <w:p w:rsidR="00E05786" w:rsidRDefault="00E05786" w:rsidP="00E71D0A">
      <w:r>
        <w:t>L’indice des prix des prestations de conseil en informatique de l’INSEE semble être stable sur la période entre 2005 et 2015</w:t>
      </w:r>
      <w:r w:rsidR="009F2F3D">
        <w:t xml:space="preserve"> avec une légère </w:t>
      </w:r>
      <w:r w:rsidR="00974B62">
        <w:t>croissance moyenne de 0.5%. C</w:t>
      </w:r>
      <w:r>
        <w:t xml:space="preserve">et indice cache beaucoup d’hétérogénéité dans les </w:t>
      </w:r>
      <w:r w:rsidR="00974B62">
        <w:t>catégories</w:t>
      </w:r>
      <w:r>
        <w:t xml:space="preserve"> de prestations de services. L’indice de l’INSEE regroupe les deux secteurs 6202A de conseil en informatique et 6202B de maintenance informatique</w:t>
      </w:r>
      <w:r w:rsidR="00E71D0A">
        <w:t xml:space="preserve">. </w:t>
      </w:r>
      <w:r>
        <w:t xml:space="preserve">  </w:t>
      </w:r>
    </w:p>
    <w:p w:rsidR="00E05786" w:rsidRDefault="00E05786" w:rsidP="00E05786">
      <w:pPr>
        <w:pStyle w:val="NoSpacing"/>
      </w:pPr>
    </w:p>
    <w:p w:rsidR="00E71D0A" w:rsidRDefault="00E71D0A" w:rsidP="00E71D0A">
      <w:pPr>
        <w:pStyle w:val="Caption"/>
        <w:keepNext/>
        <w:jc w:val="left"/>
      </w:pPr>
      <w:r>
        <w:t xml:space="preserve">Tableau </w:t>
      </w:r>
      <w:fldSimple w:instr=" SEQ Tableau \* ARABIC ">
        <w:r w:rsidR="003B30F2">
          <w:rPr>
            <w:noProof/>
          </w:rPr>
          <w:t>1</w:t>
        </w:r>
      </w:fldSimple>
      <w:r>
        <w:t xml:space="preserve"> : Variation du taux journalier moyen par profil, niveau d'expérience, segment de la demande et domaine d'expertise</w:t>
      </w:r>
    </w:p>
    <w:p w:rsidR="00E05786" w:rsidRDefault="00E05786" w:rsidP="00E05786">
      <w:pPr>
        <w:pStyle w:val="NoSpacing"/>
      </w:pPr>
      <w:r>
        <w:rPr>
          <w:noProof/>
          <w:lang w:eastAsia="fr-FR"/>
        </w:rPr>
        <w:drawing>
          <wp:inline distT="0" distB="0" distL="0" distR="0" wp14:anchorId="1B85290C" wp14:editId="5E84631C">
            <wp:extent cx="5760720" cy="1242919"/>
            <wp:effectExtent l="1905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60720" cy="1242919"/>
                    </a:xfrm>
                    <a:prstGeom prst="rect">
                      <a:avLst/>
                    </a:prstGeom>
                    <a:noFill/>
                    <a:ln w="9525">
                      <a:noFill/>
                      <a:miter lim="800000"/>
                      <a:headEnd/>
                      <a:tailEnd/>
                    </a:ln>
                  </pic:spPr>
                </pic:pic>
              </a:graphicData>
            </a:graphic>
          </wp:inline>
        </w:drawing>
      </w:r>
    </w:p>
    <w:p w:rsidR="00E05786" w:rsidRDefault="00E05786" w:rsidP="00E05786">
      <w:pPr>
        <w:pStyle w:val="NoSpacing"/>
      </w:pPr>
    </w:p>
    <w:p w:rsidR="00E05786" w:rsidRDefault="00E05786" w:rsidP="001A21DD">
      <w:r>
        <w:t>L’étude 2015 de l’observatoire des prix de PAC</w:t>
      </w:r>
      <w:r w:rsidR="001A21DD">
        <w:t xml:space="preserve"> </w:t>
      </w:r>
      <w:r>
        <w:t xml:space="preserve">nous a permis d’analyser de plus près </w:t>
      </w:r>
      <w:r w:rsidR="00B9524C">
        <w:t>l’évolution d</w:t>
      </w:r>
      <w:r>
        <w:t>es prix des prestations de service de conseil</w:t>
      </w:r>
      <w:r w:rsidR="00974B62">
        <w:t xml:space="preserve"> </w:t>
      </w:r>
      <w:r w:rsidR="00B9524C">
        <w:t xml:space="preserve">entre 2014 et 2015 </w:t>
      </w:r>
      <w:r w:rsidR="00974B62">
        <w:t>mais nous n’avons pas des informations sur une plus longue période</w:t>
      </w:r>
      <w:r>
        <w:t xml:space="preserve">. </w:t>
      </w:r>
      <w:r w:rsidR="001A21DD">
        <w:t>L</w:t>
      </w:r>
      <w:r>
        <w:t xml:space="preserve">es TJM ont augmenté de 1,6% en moyenne entre 2014 et 2015. </w:t>
      </w:r>
      <w:r w:rsidR="00B9524C">
        <w:t>C’est une évolution conjoncturelle qui</w:t>
      </w:r>
      <w:r>
        <w:t xml:space="preserve"> s’explique par le contexte</w:t>
      </w:r>
      <w:r w:rsidR="00974B62">
        <w:t xml:space="preserve"> </w:t>
      </w:r>
      <w:r>
        <w:t xml:space="preserve">favorable de digitalisation de l’économie. En effet, les clients n’ont pas les compétences nécessaires en </w:t>
      </w:r>
      <w:r>
        <w:lastRenderedPageBreak/>
        <w:t xml:space="preserve">interne. De plus, ce marché en croissance (cf. fiche 1) favorisent les prestations de conseil qui sont en amont de la chaine de valeur des services IT. </w:t>
      </w:r>
    </w:p>
    <w:p w:rsidR="001A21DD" w:rsidRDefault="001A21DD" w:rsidP="001A21DD"/>
    <w:p w:rsidR="00E05786" w:rsidRDefault="00532436" w:rsidP="00532436">
      <w:pPr>
        <w:pStyle w:val="Heading3"/>
      </w:pPr>
      <w:bookmarkStart w:id="13" w:name="_Toc451134004"/>
      <w:r>
        <w:t>L</w:t>
      </w:r>
      <w:r w:rsidR="00E05786">
        <w:t xml:space="preserve">a différenciation horizontale </w:t>
      </w:r>
      <w:r w:rsidR="00134BBF">
        <w:t>(réputation</w:t>
      </w:r>
      <w:r w:rsidR="002743B9">
        <w:t xml:space="preserve"> et double compétence des consultants</w:t>
      </w:r>
      <w:r w:rsidR="00134BBF">
        <w:t>)</w:t>
      </w:r>
      <w:bookmarkEnd w:id="13"/>
      <w:r w:rsidR="00134BBF">
        <w:t xml:space="preserve"> </w:t>
      </w:r>
    </w:p>
    <w:p w:rsidR="00901861" w:rsidRDefault="00134BBF" w:rsidP="00F33FEA">
      <w:r>
        <w:t xml:space="preserve">Dans le secteur du conseil, la réputation est un actif extrêmement précieux. Cette réputation passe </w:t>
      </w:r>
      <w:r w:rsidR="00C37D9E">
        <w:t xml:space="preserve">ce qu’on appelle le « Brand-Building ». </w:t>
      </w:r>
      <w:r w:rsidR="00901861">
        <w:t xml:space="preserve"> </w:t>
      </w:r>
    </w:p>
    <w:p w:rsidR="00F33FEA" w:rsidRDefault="00F33FEA" w:rsidP="00F33FEA"/>
    <w:p w:rsidR="00E05786" w:rsidRDefault="00532436" w:rsidP="008E6074">
      <w:pPr>
        <w:pStyle w:val="Heading3"/>
      </w:pPr>
      <w:bookmarkStart w:id="14" w:name="_Toc451134005"/>
      <w:r>
        <w:t>La d</w:t>
      </w:r>
      <w:r w:rsidR="00E05786">
        <w:t>ifférenciation verticale</w:t>
      </w:r>
      <w:r w:rsidR="00134BBF">
        <w:t xml:space="preserve"> (l’expertise des consultants)</w:t>
      </w:r>
      <w:bookmarkEnd w:id="14"/>
      <w:r w:rsidR="00E15DD8">
        <w:t xml:space="preserve"> </w:t>
      </w:r>
    </w:p>
    <w:p w:rsidR="00122CA5" w:rsidRDefault="00E05786" w:rsidP="00F33FEA">
      <w:r>
        <w:t xml:space="preserve">On trouve ici une différenciation selon le niveau de compétence des consultants. En effet, certaines entreprises de services ciblent une catégorie de consultants formés dans les grandes écoles d’ingénieurs et de commerce (Polytechnique, Centrales, HEC, INSEAD, etc.) ou bien des consultants avec double, voire triple domaines d’expertise </w:t>
      </w:r>
      <w:r w:rsidR="001A21DD">
        <w:t>et</w:t>
      </w:r>
      <w:r>
        <w:t xml:space="preserve"> plusieurs années d’expérience. Les prestations de ces consultants coûtent plus cher. </w:t>
      </w:r>
      <w:r w:rsidR="001A21DD">
        <w:t>Ces consultants</w:t>
      </w:r>
      <w:r w:rsidR="00122CA5">
        <w:t xml:space="preserve"> interviennent au niveau des processus métier </w:t>
      </w:r>
      <w:r w:rsidR="001A21DD">
        <w:t>(</w:t>
      </w:r>
      <w:proofErr w:type="spellStart"/>
      <w:r w:rsidR="001A21DD">
        <w:t>process</w:t>
      </w:r>
      <w:proofErr w:type="spellEnd"/>
      <w:r w:rsidR="001A21DD">
        <w:t xml:space="preserve"> consulting) </w:t>
      </w:r>
      <w:r w:rsidR="00122CA5">
        <w:t xml:space="preserve">et proposent des optimisations et des modifications mieux adaptés à l’économie numérique. </w:t>
      </w:r>
    </w:p>
    <w:p w:rsidR="00F33FEA" w:rsidRDefault="00F33FEA" w:rsidP="001A21DD"/>
    <w:p w:rsidR="002F0D8F" w:rsidRDefault="002F0D8F" w:rsidP="008E6074">
      <w:pPr>
        <w:pStyle w:val="Heading3"/>
      </w:pPr>
      <w:bookmarkStart w:id="15" w:name="_Toc451134006"/>
      <w:r>
        <w:t>La différenciation service</w:t>
      </w:r>
      <w:r w:rsidR="002743B9">
        <w:t xml:space="preserve"> (</w:t>
      </w:r>
      <w:r w:rsidR="008E6074">
        <w:t>la qualité du service</w:t>
      </w:r>
      <w:r w:rsidR="002743B9">
        <w:t>)</w:t>
      </w:r>
      <w:bookmarkEnd w:id="15"/>
      <w:r w:rsidR="002743B9">
        <w:t xml:space="preserve"> </w:t>
      </w:r>
      <w:r w:rsidR="00134BBF">
        <w:t xml:space="preserve"> </w:t>
      </w:r>
    </w:p>
    <w:p w:rsidR="00E05786" w:rsidRDefault="002F0D8F" w:rsidP="00CD4CED">
      <w:r w:rsidRPr="002F0D8F">
        <w:t xml:space="preserve">Les leaders du secteur sont certifiés </w:t>
      </w:r>
      <w:r w:rsidR="00134BBF">
        <w:t xml:space="preserve">avec les normes de qualité comme </w:t>
      </w:r>
      <w:r w:rsidRPr="002F0D8F">
        <w:t xml:space="preserve">ISO 9001 </w:t>
      </w:r>
      <w:r w:rsidR="00134BBF">
        <w:t xml:space="preserve">ou </w:t>
      </w:r>
      <w:proofErr w:type="spellStart"/>
      <w:r w:rsidR="00134BBF">
        <w:t>CMMi</w:t>
      </w:r>
      <w:proofErr w:type="spellEnd"/>
      <w:r w:rsidR="00134BBF">
        <w:t xml:space="preserve"> pour assurer le niveau de service offert</w:t>
      </w:r>
      <w:r w:rsidRPr="002F0D8F">
        <w:t>. Les ESN encouragent leur</w:t>
      </w:r>
      <w:r w:rsidR="00134BBF">
        <w:t>s</w:t>
      </w:r>
      <w:r w:rsidRPr="002F0D8F">
        <w:t xml:space="preserve"> consultant</w:t>
      </w:r>
      <w:r w:rsidR="00134BBF">
        <w:t>s</w:t>
      </w:r>
      <w:r w:rsidRPr="002F0D8F">
        <w:t xml:space="preserve"> pour avoir des certificats </w:t>
      </w:r>
      <w:r w:rsidR="00134BBF">
        <w:t xml:space="preserve">individuellement </w:t>
      </w:r>
      <w:r w:rsidRPr="002F0D8F">
        <w:t xml:space="preserve">pour mieux les vendre. </w:t>
      </w:r>
    </w:p>
    <w:p w:rsidR="002F0D8F" w:rsidRDefault="002F0D8F" w:rsidP="002F0D8F"/>
    <w:p w:rsidR="002F0D8F" w:rsidRDefault="00196AA0" w:rsidP="002F0D8F">
      <w:pPr>
        <w:pStyle w:val="Heading2"/>
      </w:pPr>
      <w:bookmarkStart w:id="16" w:name="_Ref451048643"/>
      <w:bookmarkStart w:id="17" w:name="_Toc451134007"/>
      <w:r>
        <w:t>Méthode d</w:t>
      </w:r>
      <w:r w:rsidR="00287ADF">
        <w:t>es stratégies génériques</w:t>
      </w:r>
      <w:bookmarkEnd w:id="16"/>
      <w:bookmarkEnd w:id="17"/>
      <w:r w:rsidR="00287ADF">
        <w:t xml:space="preserve"> </w:t>
      </w:r>
      <w:r w:rsidR="002F0D8F">
        <w:t xml:space="preserve"> </w:t>
      </w:r>
    </w:p>
    <w:p w:rsidR="0057475A" w:rsidRDefault="0057475A" w:rsidP="003541D5">
      <w:pPr>
        <w:pStyle w:val="Heading3"/>
      </w:pPr>
      <w:bookmarkStart w:id="18" w:name="_Toc451134008"/>
      <w:r>
        <w:t xml:space="preserve">Les stratégies de domination </w:t>
      </w:r>
      <w:r w:rsidR="00972A1B">
        <w:t>par l</w:t>
      </w:r>
      <w:r>
        <w:t>es coûts</w:t>
      </w:r>
      <w:r w:rsidR="00E23FD6">
        <w:t xml:space="preserve"> (</w:t>
      </w:r>
      <w:r w:rsidR="003541D5">
        <w:t>l</w:t>
      </w:r>
      <w:r w:rsidR="00E23FD6">
        <w:t xml:space="preserve">es </w:t>
      </w:r>
      <w:r w:rsidR="00901DF6">
        <w:t xml:space="preserve">grands </w:t>
      </w:r>
      <w:r w:rsidR="00E23FD6">
        <w:t>généralistes)</w:t>
      </w:r>
      <w:bookmarkEnd w:id="18"/>
      <w:r>
        <w:t xml:space="preserve"> </w:t>
      </w:r>
    </w:p>
    <w:p w:rsidR="00DB6DBB" w:rsidRDefault="00DB6DBB" w:rsidP="003541D5">
      <w:pPr>
        <w:ind w:left="0"/>
      </w:pPr>
      <w:r>
        <w:t xml:space="preserve">Les grandes entreprises ayant accès aux contrats grand compte </w:t>
      </w:r>
      <w:r w:rsidR="007A4139">
        <w:t xml:space="preserve">doivent optimiser les coûts informatiques de leur clients surtout pour les prestations de services standardisées. Pour mettre en place cette stratégie on passe par plusieurs moyens d'optimisation des coûts : </w:t>
      </w:r>
    </w:p>
    <w:p w:rsidR="00DB6DBB" w:rsidRDefault="007A4139" w:rsidP="003541D5">
      <w:pPr>
        <w:pStyle w:val="ListParagraph"/>
        <w:numPr>
          <w:ilvl w:val="0"/>
          <w:numId w:val="40"/>
        </w:numPr>
      </w:pPr>
      <w:r>
        <w:t>I</w:t>
      </w:r>
      <w:r w:rsidR="00DB6DBB">
        <w:t xml:space="preserve">ndustrialisation des processus de service et mise en place d’un système de management d’équipes avec des méthodes agiles et </w:t>
      </w:r>
      <w:proofErr w:type="spellStart"/>
      <w:r w:rsidR="00DB6DBB">
        <w:t>lean</w:t>
      </w:r>
      <w:proofErr w:type="spellEnd"/>
      <w:r w:rsidR="00DB6DBB">
        <w:t xml:space="preserve">, </w:t>
      </w:r>
    </w:p>
    <w:p w:rsidR="00DB6DBB" w:rsidRDefault="007A4139" w:rsidP="003541D5">
      <w:pPr>
        <w:pStyle w:val="ListParagraph"/>
        <w:numPr>
          <w:ilvl w:val="0"/>
          <w:numId w:val="40"/>
        </w:numPr>
      </w:pPr>
      <w:r>
        <w:t>A</w:t>
      </w:r>
      <w:r w:rsidR="00DB6DBB">
        <w:t>mélioration des méthodes de gestion de ressource humaine en fidélisant les consultants et en maîtrisant leurs taux de rotation</w:t>
      </w:r>
      <w:r w:rsidR="003541D5">
        <w:t xml:space="preserve">, </w:t>
      </w:r>
    </w:p>
    <w:p w:rsidR="00DB6DBB" w:rsidRDefault="007A4139" w:rsidP="003541D5">
      <w:pPr>
        <w:pStyle w:val="ListParagraph"/>
        <w:numPr>
          <w:ilvl w:val="0"/>
          <w:numId w:val="40"/>
        </w:numPr>
      </w:pPr>
      <w:r>
        <w:t>O</w:t>
      </w:r>
      <w:r w:rsidR="00DB6DBB">
        <w:t>ptimisation de la durée du go-to-</w:t>
      </w:r>
      <w:proofErr w:type="spellStart"/>
      <w:r w:rsidR="00DB6DBB">
        <w:t>market</w:t>
      </w:r>
      <w:proofErr w:type="spellEnd"/>
      <w:r w:rsidR="00DB6DBB">
        <w:t xml:space="preserve"> pour proposer une offre sur une nouvelle technologie avant les concurrents</w:t>
      </w:r>
      <w:r w:rsidR="003541D5">
        <w:t xml:space="preserve">, </w:t>
      </w:r>
    </w:p>
    <w:p w:rsidR="00DB6DBB" w:rsidRDefault="007A4139" w:rsidP="003541D5">
      <w:pPr>
        <w:pStyle w:val="ListParagraph"/>
        <w:numPr>
          <w:ilvl w:val="0"/>
          <w:numId w:val="40"/>
        </w:numPr>
      </w:pPr>
      <w:r>
        <w:t>O</w:t>
      </w:r>
      <w:r w:rsidR="00DB6DBB">
        <w:t>ptimisation des périodes de POC et d’avant</w:t>
      </w:r>
      <w:r>
        <w:t>-</w:t>
      </w:r>
      <w:r w:rsidR="00DB6DBB">
        <w:t>vente qui sont généralement offerts gratuitement pour les clients. Cette optimisation passe par la capitalisation des expériences précédentes des consultants</w:t>
      </w:r>
      <w:r w:rsidR="003541D5">
        <w:t xml:space="preserve">, </w:t>
      </w:r>
      <w:r w:rsidR="00DB6DBB">
        <w:t xml:space="preserve"> </w:t>
      </w:r>
    </w:p>
    <w:p w:rsidR="00DB6DBB" w:rsidRPr="00DB6DBB" w:rsidRDefault="007A4139" w:rsidP="007A4139">
      <w:pPr>
        <w:pStyle w:val="ListParagraph"/>
        <w:numPr>
          <w:ilvl w:val="0"/>
          <w:numId w:val="40"/>
        </w:numPr>
      </w:pPr>
      <w:r>
        <w:t>O</w:t>
      </w:r>
      <w:r w:rsidR="00DB6DBB">
        <w:t>ptimisation des coûts de main d’œuvre en sous-traitant une partie de trava</w:t>
      </w:r>
      <w:r w:rsidR="003541D5">
        <w:t xml:space="preserve">il à des filiales à l’étranger. </w:t>
      </w:r>
    </w:p>
    <w:p w:rsidR="0057475A" w:rsidRDefault="0057475A" w:rsidP="002F0D8F"/>
    <w:p w:rsidR="0057475A" w:rsidRDefault="0057475A" w:rsidP="003541D5">
      <w:pPr>
        <w:pStyle w:val="Heading3"/>
      </w:pPr>
      <w:bookmarkStart w:id="19" w:name="_Toc451134009"/>
      <w:r>
        <w:lastRenderedPageBreak/>
        <w:t xml:space="preserve">Les stratégies de différenciation </w:t>
      </w:r>
      <w:r w:rsidR="00E23FD6">
        <w:t>(</w:t>
      </w:r>
      <w:r w:rsidR="003541D5">
        <w:t>l</w:t>
      </w:r>
      <w:r w:rsidR="00901DF6">
        <w:t>es talents</w:t>
      </w:r>
      <w:r w:rsidR="00E23FD6">
        <w:t>)</w:t>
      </w:r>
      <w:bookmarkEnd w:id="19"/>
    </w:p>
    <w:p w:rsidR="0057475A" w:rsidRDefault="00CD4CED" w:rsidP="002F0D8F">
      <w:r>
        <w:t xml:space="preserve">Il s’agit de fournir des services de qualité à travers des consultants certifiés (ITIL, PMP, ISTQB, SAP, etc.) ou bien en offrant un package de services complémentaires pour mieux répondre aux besoins. </w:t>
      </w:r>
    </w:p>
    <w:p w:rsidR="00CD4CED" w:rsidRDefault="00CD4CED" w:rsidP="002F0D8F"/>
    <w:p w:rsidR="0057475A" w:rsidRDefault="0057475A" w:rsidP="0057475A">
      <w:pPr>
        <w:pStyle w:val="Heading3"/>
      </w:pPr>
      <w:bookmarkStart w:id="20" w:name="_Toc451134010"/>
      <w:r>
        <w:t>Les stratégies de focalisation</w:t>
      </w:r>
      <w:r w:rsidR="00DB6DBB">
        <w:t xml:space="preserve"> (l</w:t>
      </w:r>
      <w:r w:rsidR="00E23FD6">
        <w:t>es spécialistes et les experts)</w:t>
      </w:r>
      <w:bookmarkEnd w:id="20"/>
      <w:r>
        <w:t xml:space="preserve"> </w:t>
      </w:r>
    </w:p>
    <w:p w:rsidR="00DB6DBB" w:rsidRDefault="0057475A" w:rsidP="00CD4CED">
      <w:pPr>
        <w:pStyle w:val="Heading4"/>
      </w:pPr>
      <w:bookmarkStart w:id="21" w:name="_Toc451134011"/>
      <w:r>
        <w:t xml:space="preserve">Stratégies de </w:t>
      </w:r>
      <w:r w:rsidR="00CD4CED">
        <w:t>niche</w:t>
      </w:r>
      <w:bookmarkEnd w:id="21"/>
      <w:r w:rsidR="00DB6DBB">
        <w:t xml:space="preserve"> </w:t>
      </w:r>
      <w:r>
        <w:t xml:space="preserve"> </w:t>
      </w:r>
    </w:p>
    <w:p w:rsidR="00DB6DBB" w:rsidRDefault="00DB6DBB" w:rsidP="00DB6DBB">
      <w:r>
        <w:t xml:space="preserve">Ici il est possible de se focaliser </w:t>
      </w:r>
      <w:r w:rsidR="0057475A">
        <w:t>sur un segment de marché</w:t>
      </w:r>
      <w:r>
        <w:t xml:space="preserve">. C’est le </w:t>
      </w:r>
      <w:r w:rsidRPr="003541D5">
        <w:rPr>
          <w:b/>
          <w:bCs/>
          <w:i/>
          <w:iCs/>
        </w:rPr>
        <w:t>groupe d</w:t>
      </w:r>
      <w:r w:rsidR="00CE12DF" w:rsidRPr="003541D5">
        <w:rPr>
          <w:b/>
          <w:bCs/>
          <w:i/>
          <w:iCs/>
        </w:rPr>
        <w:t xml:space="preserve">es </w:t>
      </w:r>
      <w:r w:rsidR="00E23FD6" w:rsidRPr="003541D5">
        <w:rPr>
          <w:b/>
          <w:bCs/>
          <w:i/>
          <w:iCs/>
        </w:rPr>
        <w:t>spécialistes métier</w:t>
      </w:r>
      <w:r>
        <w:t xml:space="preserve">. Par exemple : </w:t>
      </w:r>
    </w:p>
    <w:p w:rsidR="00DB6DBB" w:rsidRDefault="00DB6DBB" w:rsidP="00DB6DBB">
      <w:pPr>
        <w:pStyle w:val="ListParagraph"/>
        <w:numPr>
          <w:ilvl w:val="0"/>
          <w:numId w:val="39"/>
        </w:numPr>
      </w:pPr>
      <w:r w:rsidRPr="00DB6DBB">
        <w:t>Offrir un service de conseil pour les banques de détails en Île-de-France.</w:t>
      </w:r>
      <w:r>
        <w:t xml:space="preserve"> </w:t>
      </w:r>
    </w:p>
    <w:p w:rsidR="0057475A" w:rsidRDefault="00CD4CED" w:rsidP="00DB6DBB">
      <w:r>
        <w:t xml:space="preserve"> </w:t>
      </w:r>
      <w:r w:rsidR="00DB6DBB">
        <w:t>Il est possible aussi de se focaliser</w:t>
      </w:r>
      <w:r>
        <w:t xml:space="preserve"> sur une offre de service</w:t>
      </w:r>
      <w:r w:rsidR="00DB6DBB">
        <w:t xml:space="preserve">. C’est le </w:t>
      </w:r>
      <w:r w:rsidR="00DB6DBB" w:rsidRPr="003541D5">
        <w:rPr>
          <w:b/>
          <w:bCs/>
          <w:i/>
          <w:iCs/>
        </w:rPr>
        <w:t>groupe d</w:t>
      </w:r>
      <w:r w:rsidRPr="003541D5">
        <w:rPr>
          <w:b/>
          <w:bCs/>
          <w:i/>
          <w:iCs/>
        </w:rPr>
        <w:t>es experts technique</w:t>
      </w:r>
      <w:r w:rsidR="00DB6DBB">
        <w:t xml:space="preserve">. Par exemple : </w:t>
      </w:r>
    </w:p>
    <w:p w:rsidR="00DB6DBB" w:rsidRDefault="00DB6DBB" w:rsidP="00DB6DBB">
      <w:pPr>
        <w:pStyle w:val="ListParagraph"/>
        <w:numPr>
          <w:ilvl w:val="0"/>
          <w:numId w:val="39"/>
        </w:numPr>
      </w:pPr>
      <w:r w:rsidRPr="00DB6DBB">
        <w:t>Offrir un service de conseil en analyse de données pour les entreprises de transport de la région Rhône-Alpes</w:t>
      </w:r>
      <w:r>
        <w:t xml:space="preserve">. </w:t>
      </w:r>
    </w:p>
    <w:p w:rsidR="00CD4CED" w:rsidRDefault="0057475A" w:rsidP="00CD4CED">
      <w:pPr>
        <w:pStyle w:val="Heading4"/>
      </w:pPr>
      <w:bookmarkStart w:id="22" w:name="_Toc451134012"/>
      <w:r>
        <w:t xml:space="preserve">Stratégies de focalisation </w:t>
      </w:r>
      <w:r w:rsidR="00CD4CED">
        <w:t>plus large</w:t>
      </w:r>
      <w:bookmarkEnd w:id="22"/>
      <w:r w:rsidR="00CD4CED">
        <w:t xml:space="preserve"> </w:t>
      </w:r>
    </w:p>
    <w:p w:rsidR="0057475A" w:rsidRDefault="00CD4CED" w:rsidP="00CD4CED">
      <w:r>
        <w:t xml:space="preserve">Il s’agit de se focaliser </w:t>
      </w:r>
      <w:r w:rsidR="0057475A">
        <w:t xml:space="preserve">sur </w:t>
      </w:r>
      <w:r>
        <w:t xml:space="preserve">un segment de marché ou </w:t>
      </w:r>
      <w:r w:rsidR="0057475A">
        <w:t xml:space="preserve">une offre </w:t>
      </w:r>
      <w:r>
        <w:t>de service et s’installer sur plusieurs endroit</w:t>
      </w:r>
      <w:r w:rsidR="00DB6DBB">
        <w:t>s</w:t>
      </w:r>
      <w:r>
        <w:t xml:space="preserve"> géographiques</w:t>
      </w:r>
      <w:r w:rsidR="00DB6DBB">
        <w:t xml:space="preserve">. Par exemple : </w:t>
      </w:r>
    </w:p>
    <w:p w:rsidR="00DB6DBB" w:rsidRDefault="00DB6DBB" w:rsidP="00DB6DBB">
      <w:pPr>
        <w:pStyle w:val="ListParagraph"/>
        <w:numPr>
          <w:ilvl w:val="0"/>
          <w:numId w:val="38"/>
        </w:numPr>
      </w:pPr>
      <w:r>
        <w:t xml:space="preserve">Offrir un service de conseil en SAP pour les entreprises de la grande distribution sur toute la France </w:t>
      </w:r>
    </w:p>
    <w:p w:rsidR="00DB6DBB" w:rsidRDefault="00DB6DBB" w:rsidP="00DB6DBB">
      <w:pPr>
        <w:pStyle w:val="ListParagraph"/>
        <w:numPr>
          <w:ilvl w:val="0"/>
          <w:numId w:val="38"/>
        </w:numPr>
      </w:pPr>
      <w:r>
        <w:t xml:space="preserve">Offrir un service d’analyse de données avec la solution SAS pour les entreprises de tous les secteurs en Île-de-France  </w:t>
      </w:r>
    </w:p>
    <w:p w:rsidR="0057475A" w:rsidRDefault="00DB6DBB" w:rsidP="002F0D8F">
      <w:r>
        <w:t xml:space="preserve">Généralement ce sont les entreprises du groupe des « petits généralistes » qui commencent avec cette stratégie. </w:t>
      </w:r>
    </w:p>
    <w:p w:rsidR="00DB6DBB" w:rsidRDefault="00DB6DBB" w:rsidP="002F0D8F"/>
    <w:p w:rsidR="0057475A" w:rsidRDefault="0057475A" w:rsidP="00E23FD6">
      <w:pPr>
        <w:pStyle w:val="Heading3"/>
      </w:pPr>
      <w:bookmarkStart w:id="23" w:name="_Toc451134013"/>
      <w:r>
        <w:t xml:space="preserve">Les stratégies mixtes </w:t>
      </w:r>
      <w:r w:rsidR="00DB6DBB">
        <w:t>(l</w:t>
      </w:r>
      <w:r w:rsidR="00E23FD6">
        <w:t>es petits généralistes)</w:t>
      </w:r>
      <w:bookmarkEnd w:id="23"/>
      <w:r w:rsidR="00E23FD6">
        <w:t xml:space="preserve"> </w:t>
      </w:r>
    </w:p>
    <w:p w:rsidR="00901DF6" w:rsidRDefault="00901DF6" w:rsidP="003541D5">
      <w:r>
        <w:t>Ce sont des entreprises qui sont sur le même chemin des grandes entreprises du groupe des généralistes mais qui n’ont pas accès aux grands comptes comme les grands généralistes. Ce sont des acteurs qui visent des PME</w:t>
      </w:r>
      <w:r w:rsidR="003541D5">
        <w:t xml:space="preserve"> et </w:t>
      </w:r>
      <w:r>
        <w:t xml:space="preserve">PMI et </w:t>
      </w:r>
      <w:r w:rsidR="003541D5">
        <w:t xml:space="preserve">qui </w:t>
      </w:r>
      <w:r>
        <w:t>grandissent avec leur</w:t>
      </w:r>
      <w:r w:rsidR="003541D5">
        <w:t>s</w:t>
      </w:r>
      <w:r>
        <w:t xml:space="preserve"> clients pour devenir plus tard des grands généralistes. </w:t>
      </w:r>
    </w:p>
    <w:p w:rsidR="00BA4B5F" w:rsidRPr="00BA4B5F" w:rsidRDefault="00901DF6" w:rsidP="00901DF6">
      <w:r>
        <w:t xml:space="preserve"> </w:t>
      </w:r>
    </w:p>
    <w:p w:rsidR="002F0D8F" w:rsidRDefault="00AB209D" w:rsidP="004450D4">
      <w:pPr>
        <w:pStyle w:val="Heading1"/>
      </w:pPr>
      <w:bookmarkStart w:id="24" w:name="_Toc451134014"/>
      <w:r>
        <w:lastRenderedPageBreak/>
        <w:t>Carte du secteur</w:t>
      </w:r>
      <w:bookmarkEnd w:id="24"/>
      <w:r w:rsidR="002F0D8F">
        <w:t xml:space="preserve"> </w:t>
      </w:r>
    </w:p>
    <w:p w:rsidR="00AB209D" w:rsidRDefault="00CE12DF" w:rsidP="00AB209D">
      <w:pPr>
        <w:ind w:left="0"/>
      </w:pPr>
      <w:r>
        <w:t>L’analyse des informations collectées</w:t>
      </w:r>
      <w:r w:rsidR="00842094">
        <w:rPr>
          <w:rStyle w:val="FootnoteReference"/>
        </w:rPr>
        <w:footnoteReference w:id="10"/>
      </w:r>
      <w:r>
        <w:t xml:space="preserve"> sur les entreprises top 100 du secteur nous a permis de les</w:t>
      </w:r>
      <w:r w:rsidR="00084AFA">
        <w:t xml:space="preserve"> positionne</w:t>
      </w:r>
      <w:r>
        <w:t>r</w:t>
      </w:r>
      <w:r w:rsidR="00084AFA">
        <w:t xml:space="preserve"> dans l’espace des stratégies génériques </w:t>
      </w:r>
      <w:r w:rsidR="00842094">
        <w:t>et d’obtenir les groupes décrits</w:t>
      </w:r>
      <w:r w:rsidR="00084AFA">
        <w:t xml:space="preserve"> dans le paragraphe </w:t>
      </w:r>
      <w:r w:rsidR="00084AFA">
        <w:fldChar w:fldCharType="begin"/>
      </w:r>
      <w:r w:rsidR="00084AFA">
        <w:instrText xml:space="preserve"> REF _Ref451048643 \r \h </w:instrText>
      </w:r>
      <w:r w:rsidR="00084AFA">
        <w:fldChar w:fldCharType="separate"/>
      </w:r>
      <w:r w:rsidR="003B30F2">
        <w:rPr>
          <w:cs/>
        </w:rPr>
        <w:t>‎</w:t>
      </w:r>
      <w:r w:rsidR="003B30F2">
        <w:t>2.2</w:t>
      </w:r>
      <w:r w:rsidR="00084AFA">
        <w:fldChar w:fldCharType="end"/>
      </w:r>
      <w:r w:rsidR="00084AFA">
        <w:t xml:space="preserve">. </w:t>
      </w:r>
    </w:p>
    <w:p w:rsidR="00AB209D" w:rsidRDefault="00AB209D" w:rsidP="00605096">
      <w:pPr>
        <w:ind w:left="0"/>
      </w:pPr>
      <w:r>
        <w:t>L</w:t>
      </w:r>
      <w:r w:rsidR="00605096">
        <w:t>es listes des</w:t>
      </w:r>
      <w:r>
        <w:t xml:space="preserve"> entreprises de chaque groupe stratégique </w:t>
      </w:r>
      <w:r w:rsidR="00605096">
        <w:t>sont</w:t>
      </w:r>
      <w:r>
        <w:t xml:space="preserve"> détaillé</w:t>
      </w:r>
      <w:r w:rsidR="00605096">
        <w:t>es</w:t>
      </w:r>
      <w:r>
        <w:t xml:space="preserve"> en annexe. </w:t>
      </w:r>
    </w:p>
    <w:p w:rsidR="00AB209D" w:rsidRDefault="000E720D" w:rsidP="00AB209D">
      <w:pPr>
        <w:ind w:left="0"/>
      </w:pPr>
      <w:r>
        <w:t xml:space="preserve">Dans </w:t>
      </w:r>
      <w:r w:rsidR="009C1EE2">
        <w:t xml:space="preserve">le </w:t>
      </w:r>
      <w:r w:rsidR="009C1EE2">
        <w:fldChar w:fldCharType="begin"/>
      </w:r>
      <w:r w:rsidR="009C1EE2">
        <w:instrText xml:space="preserve"> REF _Ref451125237 \h </w:instrText>
      </w:r>
      <w:r w:rsidR="00AB209D">
        <w:instrText xml:space="preserve"> \* MERGEFORMAT </w:instrText>
      </w:r>
      <w:r w:rsidR="009C1EE2">
        <w:fldChar w:fldCharType="separate"/>
      </w:r>
      <w:r w:rsidR="003B30F2">
        <w:t xml:space="preserve">Graphique </w:t>
      </w:r>
      <w:r w:rsidR="003B30F2">
        <w:rPr>
          <w:noProof/>
        </w:rPr>
        <w:t>1</w:t>
      </w:r>
      <w:r w:rsidR="009C1EE2">
        <w:fldChar w:fldCharType="end"/>
      </w:r>
      <w:r>
        <w:t>, on représente les entreprises par des cercles de taille proportionnelle aux chiffres d’affaire. Sur l’axe horizontal, on représente la part de marché relative de chaque entreprise par rapport au leader (IBM). Pour le leader, on calcule sa part relative par rapport au second (</w:t>
      </w:r>
      <w:proofErr w:type="spellStart"/>
      <w:r>
        <w:t>Sopra-Steria</w:t>
      </w:r>
      <w:proofErr w:type="spellEnd"/>
      <w:r>
        <w:t xml:space="preserve">). </w:t>
      </w:r>
    </w:p>
    <w:p w:rsidR="00AB209D" w:rsidRDefault="000E720D" w:rsidP="00AB209D">
      <w:pPr>
        <w:ind w:left="0"/>
      </w:pPr>
      <w:r>
        <w:t xml:space="preserve">Sur l’axe vertical on représente le taux de croissance annuel moyen des entreprises entre 2010 et 2014. </w:t>
      </w:r>
    </w:p>
    <w:p w:rsidR="00AB209D" w:rsidRDefault="00057393" w:rsidP="00AB209D">
      <w:pPr>
        <w:ind w:left="0"/>
      </w:pPr>
      <w:r>
        <w:t>Le cercle vert qui se trouve à l’intersection des droites vertes représente une entreprise fictive (TMO-TCAM) qui a la taille minimale optimale</w:t>
      </w:r>
      <w:r>
        <w:rPr>
          <w:rStyle w:val="FootnoteReference"/>
        </w:rPr>
        <w:footnoteReference w:id="11"/>
      </w:r>
      <w:r>
        <w:t xml:space="preserve"> (c'est-à-dire 7% du leader) et dont la croissance correspond au taux de croissance moyen du marché</w:t>
      </w:r>
      <w:r>
        <w:rPr>
          <w:rStyle w:val="FootnoteReference"/>
        </w:rPr>
        <w:footnoteReference w:id="12"/>
      </w:r>
      <w:r>
        <w:t xml:space="preserve"> (6,5%). </w:t>
      </w:r>
    </w:p>
    <w:p w:rsidR="000E720D" w:rsidRDefault="00057393" w:rsidP="00AB209D">
      <w:pPr>
        <w:ind w:left="0"/>
      </w:pPr>
      <w:r>
        <w:t xml:space="preserve">Dans cette carte on représente chaque groupe stratégique par un code couleur. </w:t>
      </w:r>
    </w:p>
    <w:p w:rsidR="00605096" w:rsidRPr="000E720D" w:rsidRDefault="00605096" w:rsidP="00605096">
      <w:pPr>
        <w:ind w:left="0"/>
      </w:pPr>
      <w:r>
        <w:t xml:space="preserve">Les numéros dans les cercles sont les rangs des entreprises dans la liste top 100 classé selon leur chiffre d’affaire (cf. annexe pour les noms des entreprises par son rang).  </w:t>
      </w:r>
    </w:p>
    <w:p w:rsidR="00437267" w:rsidRDefault="006E66CB" w:rsidP="006E66CB">
      <w:pPr>
        <w:spacing w:before="0" w:after="0"/>
        <w:ind w:left="0"/>
        <w:jc w:val="left"/>
        <w:sectPr w:rsidR="00437267" w:rsidSect="00D57DCC">
          <w:headerReference w:type="default" r:id="rId14"/>
          <w:headerReference w:type="first" r:id="rId15"/>
          <w:pgSz w:w="11906" w:h="16838" w:code="9"/>
          <w:pgMar w:top="1134" w:right="2692" w:bottom="1134" w:left="1134" w:header="426" w:footer="709" w:gutter="0"/>
          <w:cols w:space="708"/>
          <w:titlePg/>
          <w:docGrid w:linePitch="360"/>
        </w:sectPr>
      </w:pPr>
      <w:r>
        <w:br w:type="page"/>
      </w:r>
    </w:p>
    <w:p w:rsidR="009B4481" w:rsidRPr="002F0D8F" w:rsidRDefault="008409D6" w:rsidP="002F0D8F">
      <w:pPr>
        <w:ind w:left="0"/>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52.35pt;margin-top:423.35pt;width:828.8pt;height:.05pt;z-index:251658752;mso-position-horizontal-relative:text;mso-position-vertical-relative:text" stroked="f">
            <v:textbox style="mso-next-textbox:#_x0000_s1027;mso-fit-shape-to-text:t" inset="0,0,0,0">
              <w:txbxContent>
                <w:p w:rsidR="000E720D" w:rsidRPr="001B7AE1" w:rsidRDefault="000E720D" w:rsidP="006E66CB">
                  <w:pPr>
                    <w:pStyle w:val="Caption"/>
                    <w:rPr>
                      <w:noProof/>
                    </w:rPr>
                  </w:pPr>
                  <w:bookmarkStart w:id="25" w:name="_Ref451125237"/>
                  <w:r>
                    <w:t xml:space="preserve">Graphique </w:t>
                  </w:r>
                  <w:fldSimple w:instr=" SEQ Graphique \* ARABIC ">
                    <w:r w:rsidR="003B30F2">
                      <w:rPr>
                        <w:noProof/>
                      </w:rPr>
                      <w:t>1</w:t>
                    </w:r>
                  </w:fldSimple>
                  <w:bookmarkEnd w:id="25"/>
                  <w:r>
                    <w:rPr>
                      <w:noProof/>
                    </w:rPr>
                    <w:t xml:space="preserve"> : Carte du secteur</w:t>
                  </w:r>
                </w:p>
              </w:txbxContent>
            </v:textbox>
          </v:shape>
        </w:pict>
      </w:r>
      <w:r w:rsidR="006E66CB">
        <w:rPr>
          <w:noProof/>
        </w:rPr>
        <w:drawing>
          <wp:anchor distT="0" distB="0" distL="114300" distR="114300" simplePos="0" relativeHeight="251660800" behindDoc="1" locked="0" layoutInCell="1" allowOverlap="1" wp14:anchorId="1E4285F3" wp14:editId="7919763E">
            <wp:simplePos x="0" y="0"/>
            <wp:positionH relativeFrom="column">
              <wp:posOffset>-664873</wp:posOffset>
            </wp:positionH>
            <wp:positionV relativeFrom="paragraph">
              <wp:posOffset>-1559295</wp:posOffset>
            </wp:positionV>
            <wp:extent cx="10525901" cy="6878472"/>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525901" cy="6878472"/>
                    </a:xfrm>
                    <a:prstGeom prst="rect">
                      <a:avLst/>
                    </a:prstGeom>
                  </pic:spPr>
                </pic:pic>
              </a:graphicData>
            </a:graphic>
            <wp14:sizeRelH relativeFrom="margin">
              <wp14:pctWidth>0</wp14:pctWidth>
            </wp14:sizeRelH>
            <wp14:sizeRelV relativeFrom="margin">
              <wp14:pctHeight>0</wp14:pctHeight>
            </wp14:sizeRelV>
          </wp:anchor>
        </w:drawing>
      </w:r>
    </w:p>
    <w:p w:rsidR="006E66CB" w:rsidRDefault="006E66CB" w:rsidP="00806CF3">
      <w:pPr>
        <w:pStyle w:val="Heading1"/>
        <w:numPr>
          <w:ilvl w:val="0"/>
          <w:numId w:val="0"/>
        </w:numPr>
        <w:ind w:left="431"/>
        <w:sectPr w:rsidR="006E66CB" w:rsidSect="00437267">
          <w:pgSz w:w="16838" w:h="11906" w:orient="landscape" w:code="9"/>
          <w:pgMar w:top="2693" w:right="1134" w:bottom="1134" w:left="1134" w:header="425" w:footer="709" w:gutter="0"/>
          <w:cols w:space="708"/>
          <w:titlePg/>
          <w:docGrid w:linePitch="360"/>
        </w:sectPr>
      </w:pPr>
      <w:bookmarkStart w:id="26" w:name="_Ref446894877"/>
    </w:p>
    <w:p w:rsidR="00806CF3" w:rsidRDefault="00806CF3" w:rsidP="00806CF3">
      <w:pPr>
        <w:pStyle w:val="Heading1"/>
        <w:numPr>
          <w:ilvl w:val="0"/>
          <w:numId w:val="0"/>
        </w:numPr>
        <w:ind w:left="431"/>
      </w:pPr>
      <w:bookmarkStart w:id="27" w:name="_Toc451134015"/>
      <w:r>
        <w:lastRenderedPageBreak/>
        <w:t>Annexes</w:t>
      </w:r>
      <w:bookmarkEnd w:id="26"/>
      <w:bookmarkEnd w:id="27"/>
    </w:p>
    <w:p w:rsidR="00287ADF" w:rsidRDefault="00287ADF" w:rsidP="00287ADF">
      <w:pPr>
        <w:pStyle w:val="Heading2"/>
        <w:numPr>
          <w:ilvl w:val="0"/>
          <w:numId w:val="0"/>
        </w:numPr>
        <w:ind w:left="576"/>
      </w:pPr>
      <w:bookmarkStart w:id="28" w:name="_Toc451134016"/>
      <w:r>
        <w:t xml:space="preserve">Modèle économique des ESN </w:t>
      </w:r>
      <w:r w:rsidR="004E177B">
        <w:t>(</w:t>
      </w:r>
      <w:proofErr w:type="spellStart"/>
      <w:r w:rsidR="004E177B">
        <w:t>Canvas</w:t>
      </w:r>
      <w:proofErr w:type="spellEnd"/>
      <w:r w:rsidR="004E177B">
        <w:t>)</w:t>
      </w:r>
      <w:bookmarkEnd w:id="28"/>
      <w:r>
        <w:t xml:space="preserve"> </w:t>
      </w:r>
    </w:p>
    <w:p w:rsidR="00287ADF" w:rsidRDefault="006E66CB" w:rsidP="006E66CB">
      <w:r>
        <w:t>Les</w:t>
      </w:r>
      <w:r w:rsidR="00287ADF">
        <w:t xml:space="preserve"> neuf composants </w:t>
      </w:r>
      <w:r>
        <w:t>du « </w:t>
      </w:r>
      <w:proofErr w:type="spellStart"/>
      <w:r>
        <w:t>canvas</w:t>
      </w:r>
      <w:proofErr w:type="spellEnd"/>
      <w:r>
        <w:t> »</w:t>
      </w:r>
      <w:r>
        <w:rPr>
          <w:rStyle w:val="FootnoteReference"/>
        </w:rPr>
        <w:footnoteReference w:id="13"/>
      </w:r>
      <w:r w:rsidR="00287ADF">
        <w:t xml:space="preserve"> </w:t>
      </w:r>
      <w:r w:rsidR="006B1D6A">
        <w:t xml:space="preserve">Pour notre secteur, </w:t>
      </w:r>
      <w:r>
        <w:t>sont décrit dans l’onglet « </w:t>
      </w:r>
      <w:r w:rsidRPr="006E66CB">
        <w:t>Business Model des ESN</w:t>
      </w:r>
      <w:r>
        <w:t xml:space="preserve"> » du document Excel joint à cette étude. </w:t>
      </w:r>
      <w:r w:rsidR="00287ADF">
        <w:t xml:space="preserve"> </w:t>
      </w:r>
    </w:p>
    <w:p w:rsidR="00D92D7E" w:rsidRPr="00CD4CED" w:rsidRDefault="00D92D7E">
      <w:pPr>
        <w:tabs>
          <w:tab w:val="left" w:pos="5520"/>
        </w:tabs>
        <w:ind w:left="0"/>
      </w:pPr>
    </w:p>
    <w:p w:rsidR="008D6C4A" w:rsidRDefault="004E6F06" w:rsidP="004E6F06">
      <w:pPr>
        <w:pStyle w:val="Heading2"/>
        <w:numPr>
          <w:ilvl w:val="0"/>
          <w:numId w:val="0"/>
        </w:numPr>
        <w:ind w:left="576"/>
      </w:pPr>
      <w:bookmarkStart w:id="29" w:name="_Toc451134017"/>
      <w:r>
        <w:t>Détails des</w:t>
      </w:r>
      <w:r w:rsidR="006E66CB">
        <w:t xml:space="preserve"> groupes stratégiques</w:t>
      </w:r>
      <w:bookmarkEnd w:id="29"/>
      <w:r w:rsidR="006E66CB">
        <w:t xml:space="preserve"> </w:t>
      </w:r>
    </w:p>
    <w:p w:rsidR="004E6F06" w:rsidRDefault="00607251" w:rsidP="009117A5">
      <w:r>
        <w:t xml:space="preserve">Nous avons classé les entreprises dans ces groupes en se basant sur les informations collectées </w:t>
      </w:r>
      <w:r w:rsidR="00451FCE">
        <w:t>qui décrivent</w:t>
      </w:r>
      <w:r>
        <w:t xml:space="preserve"> </w:t>
      </w:r>
      <w:r w:rsidR="00451FCE">
        <w:t xml:space="preserve">leurs </w:t>
      </w:r>
      <w:r>
        <w:t xml:space="preserve">activités, leurs </w:t>
      </w:r>
      <w:r w:rsidR="00451FCE">
        <w:t>principaux clients, leurs principaux services et d’autres informations stratégiques qui se trouvent dans l’onglet « </w:t>
      </w:r>
      <w:r w:rsidR="00451FCE" w:rsidRPr="00451FCE">
        <w:t>Top 100 traitement</w:t>
      </w:r>
      <w:r w:rsidR="00451FCE">
        <w:t xml:space="preserve"> » du document Excel joint à cette étude. </w:t>
      </w:r>
    </w:p>
    <w:p w:rsidR="00451FCE" w:rsidRPr="004E6F06" w:rsidRDefault="00451FCE" w:rsidP="00451FCE">
      <w:pPr>
        <w:pStyle w:val="BodyText"/>
      </w:pPr>
    </w:p>
    <w:p w:rsidR="004E6F06" w:rsidRDefault="004E6F06" w:rsidP="004E6F06">
      <w:pPr>
        <w:pStyle w:val="Caption"/>
        <w:keepNext/>
        <w:jc w:val="center"/>
      </w:pPr>
      <w:r>
        <w:t xml:space="preserve">Tableau </w:t>
      </w:r>
      <w:fldSimple w:instr=" SEQ Tableau \* ARABIC ">
        <w:r w:rsidR="003B30F2">
          <w:rPr>
            <w:noProof/>
          </w:rPr>
          <w:t>2</w:t>
        </w:r>
      </w:fldSimple>
      <w:r>
        <w:t xml:space="preserve"> : entreprises du groupe stratégique des "Grands généralistes"</w:t>
      </w:r>
    </w:p>
    <w:p w:rsidR="006E66CB" w:rsidRDefault="006E66CB" w:rsidP="004E6F06">
      <w:pPr>
        <w:tabs>
          <w:tab w:val="left" w:pos="-709"/>
        </w:tabs>
        <w:ind w:left="0"/>
        <w:jc w:val="center"/>
      </w:pPr>
      <w:r>
        <w:rPr>
          <w:noProof/>
        </w:rPr>
        <w:drawing>
          <wp:inline distT="0" distB="0" distL="0" distR="0" wp14:anchorId="594FC9FC" wp14:editId="4F01CC96">
            <wp:extent cx="5130165" cy="196151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30165" cy="1961515"/>
                    </a:xfrm>
                    <a:prstGeom prst="rect">
                      <a:avLst/>
                    </a:prstGeom>
                  </pic:spPr>
                </pic:pic>
              </a:graphicData>
            </a:graphic>
          </wp:inline>
        </w:drawing>
      </w:r>
    </w:p>
    <w:p w:rsidR="006E66CB" w:rsidRDefault="006E66CB" w:rsidP="00D92D7E">
      <w:pPr>
        <w:tabs>
          <w:tab w:val="left" w:pos="-709"/>
        </w:tabs>
        <w:ind w:left="0"/>
      </w:pPr>
    </w:p>
    <w:p w:rsidR="00451FCE" w:rsidRDefault="00451FCE" w:rsidP="00451FCE">
      <w:pPr>
        <w:tabs>
          <w:tab w:val="left" w:pos="-709"/>
        </w:tabs>
        <w:ind w:left="0"/>
      </w:pPr>
    </w:p>
    <w:p w:rsidR="00451FCE" w:rsidRDefault="00451FCE" w:rsidP="00451FCE">
      <w:pPr>
        <w:pStyle w:val="Caption"/>
        <w:keepNext/>
      </w:pPr>
      <w:r>
        <w:t xml:space="preserve">Tableau </w:t>
      </w:r>
      <w:r w:rsidR="008409D6">
        <w:fldChar w:fldCharType="begin"/>
      </w:r>
      <w:r w:rsidR="008409D6">
        <w:instrText xml:space="preserve"> SEQ Tableau \* ARABIC </w:instrText>
      </w:r>
      <w:r w:rsidR="008409D6">
        <w:fldChar w:fldCharType="separate"/>
      </w:r>
      <w:r w:rsidR="003B30F2">
        <w:rPr>
          <w:noProof/>
        </w:rPr>
        <w:t>3</w:t>
      </w:r>
      <w:r w:rsidR="008409D6">
        <w:rPr>
          <w:noProof/>
        </w:rPr>
        <w:fldChar w:fldCharType="end"/>
      </w:r>
      <w:r w:rsidRPr="00DE3F4B">
        <w:t xml:space="preserve"> : entreprises du groupe stratégique des "</w:t>
      </w:r>
      <w:r>
        <w:t>Talents</w:t>
      </w:r>
      <w:r w:rsidRPr="00DE3F4B">
        <w:t>"</w:t>
      </w:r>
    </w:p>
    <w:p w:rsidR="00451FCE" w:rsidRDefault="00451FCE" w:rsidP="00451FCE">
      <w:pPr>
        <w:tabs>
          <w:tab w:val="left" w:pos="-709"/>
        </w:tabs>
        <w:ind w:left="0"/>
      </w:pPr>
      <w:r>
        <w:rPr>
          <w:noProof/>
        </w:rPr>
        <w:drawing>
          <wp:inline distT="0" distB="0" distL="0" distR="0" wp14:anchorId="4E987FFA" wp14:editId="4B727FF2">
            <wp:extent cx="5130165" cy="159575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30165" cy="1595755"/>
                    </a:xfrm>
                    <a:prstGeom prst="rect">
                      <a:avLst/>
                    </a:prstGeom>
                  </pic:spPr>
                </pic:pic>
              </a:graphicData>
            </a:graphic>
          </wp:inline>
        </w:drawing>
      </w:r>
    </w:p>
    <w:p w:rsidR="00451FCE" w:rsidRDefault="00451FCE" w:rsidP="00D92D7E">
      <w:pPr>
        <w:tabs>
          <w:tab w:val="left" w:pos="-709"/>
        </w:tabs>
        <w:ind w:left="0"/>
      </w:pPr>
    </w:p>
    <w:p w:rsidR="004E6F06" w:rsidRDefault="004E6F06" w:rsidP="004E6F06">
      <w:pPr>
        <w:pStyle w:val="Caption"/>
        <w:keepNext/>
      </w:pPr>
      <w:r>
        <w:lastRenderedPageBreak/>
        <w:t xml:space="preserve">Tableau </w:t>
      </w:r>
      <w:fldSimple w:instr=" SEQ Tableau \* ARABIC ">
        <w:r w:rsidR="003B30F2">
          <w:rPr>
            <w:noProof/>
          </w:rPr>
          <w:t>4</w:t>
        </w:r>
      </w:fldSimple>
      <w:r>
        <w:t xml:space="preserve"> </w:t>
      </w:r>
      <w:r w:rsidRPr="006B5433">
        <w:t>: entreprises du groupe stratégique des "</w:t>
      </w:r>
      <w:r>
        <w:t>Petits</w:t>
      </w:r>
      <w:r w:rsidRPr="006B5433">
        <w:t xml:space="preserve"> généralistes"</w:t>
      </w:r>
    </w:p>
    <w:p w:rsidR="006E66CB" w:rsidRDefault="006E66CB" w:rsidP="00D92D7E">
      <w:pPr>
        <w:tabs>
          <w:tab w:val="left" w:pos="-709"/>
        </w:tabs>
        <w:ind w:left="0"/>
      </w:pPr>
      <w:r>
        <w:rPr>
          <w:noProof/>
        </w:rPr>
        <w:drawing>
          <wp:inline distT="0" distB="0" distL="0" distR="0" wp14:anchorId="7DB6E98D" wp14:editId="50292294">
            <wp:extent cx="5130165" cy="384365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30165" cy="3843655"/>
                    </a:xfrm>
                    <a:prstGeom prst="rect">
                      <a:avLst/>
                    </a:prstGeom>
                  </pic:spPr>
                </pic:pic>
              </a:graphicData>
            </a:graphic>
          </wp:inline>
        </w:drawing>
      </w:r>
    </w:p>
    <w:p w:rsidR="006E66CB" w:rsidRDefault="006E66CB" w:rsidP="00D92D7E">
      <w:pPr>
        <w:tabs>
          <w:tab w:val="left" w:pos="-709"/>
        </w:tabs>
        <w:ind w:left="0"/>
      </w:pPr>
    </w:p>
    <w:p w:rsidR="004E6F06" w:rsidRDefault="004E6F06" w:rsidP="004E6F06">
      <w:pPr>
        <w:pStyle w:val="Caption"/>
        <w:keepNext/>
      </w:pPr>
      <w:r>
        <w:lastRenderedPageBreak/>
        <w:t xml:space="preserve">Tableau </w:t>
      </w:r>
      <w:fldSimple w:instr=" SEQ Tableau \* ARABIC ">
        <w:r w:rsidR="003B30F2">
          <w:rPr>
            <w:noProof/>
          </w:rPr>
          <w:t>5</w:t>
        </w:r>
      </w:fldSimple>
      <w:r w:rsidRPr="00444D7D">
        <w:t xml:space="preserve"> : entreprises du groupe stratégique des "</w:t>
      </w:r>
      <w:r>
        <w:t>Spécialistes métier</w:t>
      </w:r>
      <w:r w:rsidRPr="00444D7D">
        <w:t>"</w:t>
      </w:r>
    </w:p>
    <w:p w:rsidR="008D6C4A" w:rsidRDefault="004E6F06" w:rsidP="00D92D7E">
      <w:pPr>
        <w:tabs>
          <w:tab w:val="left" w:pos="-709"/>
        </w:tabs>
        <w:ind w:left="0"/>
      </w:pPr>
      <w:r>
        <w:rPr>
          <w:noProof/>
        </w:rPr>
        <w:drawing>
          <wp:inline distT="0" distB="0" distL="0" distR="0" wp14:anchorId="201F607A" wp14:editId="1BF9F7E1">
            <wp:extent cx="5130165" cy="46805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30165" cy="4680585"/>
                    </a:xfrm>
                    <a:prstGeom prst="rect">
                      <a:avLst/>
                    </a:prstGeom>
                  </pic:spPr>
                </pic:pic>
              </a:graphicData>
            </a:graphic>
          </wp:inline>
        </w:drawing>
      </w:r>
    </w:p>
    <w:p w:rsidR="004E6F06" w:rsidRDefault="004E6F06" w:rsidP="00D92D7E">
      <w:pPr>
        <w:tabs>
          <w:tab w:val="left" w:pos="-709"/>
        </w:tabs>
        <w:ind w:left="0"/>
      </w:pPr>
    </w:p>
    <w:p w:rsidR="004E6F06" w:rsidRDefault="004E6F06" w:rsidP="004E6F06">
      <w:pPr>
        <w:pStyle w:val="Caption"/>
        <w:keepNext/>
      </w:pPr>
      <w:r>
        <w:lastRenderedPageBreak/>
        <w:t xml:space="preserve">Tableau </w:t>
      </w:r>
      <w:fldSimple w:instr=" SEQ Tableau \* ARABIC ">
        <w:r w:rsidR="003B30F2">
          <w:rPr>
            <w:noProof/>
          </w:rPr>
          <w:t>6</w:t>
        </w:r>
      </w:fldSimple>
      <w:r w:rsidRPr="00E2223F">
        <w:t xml:space="preserve"> : entreprises du groupe stratégique des "</w:t>
      </w:r>
      <w:r>
        <w:t>Experts technique</w:t>
      </w:r>
      <w:r w:rsidRPr="00E2223F">
        <w:t>"</w:t>
      </w:r>
    </w:p>
    <w:p w:rsidR="004E6F06" w:rsidRDefault="004E6F06" w:rsidP="00D92D7E">
      <w:pPr>
        <w:tabs>
          <w:tab w:val="left" w:pos="-709"/>
        </w:tabs>
        <w:ind w:left="0"/>
      </w:pPr>
      <w:r>
        <w:rPr>
          <w:noProof/>
        </w:rPr>
        <w:drawing>
          <wp:inline distT="0" distB="0" distL="0" distR="0" wp14:anchorId="17BE2683" wp14:editId="27E86A80">
            <wp:extent cx="5130165" cy="638556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30165" cy="6385560"/>
                    </a:xfrm>
                    <a:prstGeom prst="rect">
                      <a:avLst/>
                    </a:prstGeom>
                  </pic:spPr>
                </pic:pic>
              </a:graphicData>
            </a:graphic>
          </wp:inline>
        </w:drawing>
      </w:r>
      <w:r>
        <w:t xml:space="preserve"> </w:t>
      </w:r>
    </w:p>
    <w:p w:rsidR="004E6F06" w:rsidRPr="00D92D7E" w:rsidRDefault="004E6F06" w:rsidP="00D92D7E">
      <w:pPr>
        <w:tabs>
          <w:tab w:val="left" w:pos="-709"/>
        </w:tabs>
        <w:ind w:left="0"/>
      </w:pPr>
    </w:p>
    <w:sectPr w:rsidR="004E6F06" w:rsidRPr="00D92D7E" w:rsidSect="006E66CB">
      <w:pgSz w:w="11906" w:h="16838" w:code="9"/>
      <w:pgMar w:top="1134" w:right="2693"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D6" w:rsidRDefault="008409D6" w:rsidP="00AF22F5">
      <w:r>
        <w:separator/>
      </w:r>
    </w:p>
  </w:endnote>
  <w:endnote w:type="continuationSeparator" w:id="0">
    <w:p w:rsidR="008409D6" w:rsidRDefault="008409D6" w:rsidP="00AF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D6" w:rsidRDefault="008409D6" w:rsidP="00AF22F5">
      <w:r>
        <w:separator/>
      </w:r>
    </w:p>
  </w:footnote>
  <w:footnote w:type="continuationSeparator" w:id="0">
    <w:p w:rsidR="008409D6" w:rsidRDefault="008409D6" w:rsidP="00AF22F5">
      <w:r>
        <w:continuationSeparator/>
      </w:r>
    </w:p>
  </w:footnote>
  <w:footnote w:id="1">
    <w:p w:rsidR="000E720D" w:rsidRDefault="000E720D" w:rsidP="00A05648">
      <w:pPr>
        <w:pStyle w:val="FootnoteText"/>
      </w:pPr>
      <w:r>
        <w:rPr>
          <w:rStyle w:val="FootnoteReference"/>
        </w:rPr>
        <w:footnoteRef/>
      </w:r>
      <w:r>
        <w:t xml:space="preserve">  </w:t>
      </w:r>
      <w:r w:rsidRPr="008C4FD6">
        <w:t xml:space="preserve">Social, Mobile, </w:t>
      </w:r>
      <w:proofErr w:type="spellStart"/>
      <w:r w:rsidRPr="008C4FD6">
        <w:t>Analytics</w:t>
      </w:r>
      <w:proofErr w:type="spellEnd"/>
      <w:r w:rsidRPr="008C4FD6">
        <w:t xml:space="preserve">, Cloud </w:t>
      </w:r>
      <w:proofErr w:type="spellStart"/>
      <w:r w:rsidRPr="008C4FD6">
        <w:t>Computing</w:t>
      </w:r>
      <w:proofErr w:type="spellEnd"/>
      <w:r w:rsidRPr="008C4FD6">
        <w:t xml:space="preserve">, </w:t>
      </w:r>
      <w:proofErr w:type="spellStart"/>
      <w:r w:rsidRPr="008C4FD6">
        <w:t>Cybersécurité</w:t>
      </w:r>
      <w:proofErr w:type="spellEnd"/>
      <w:r>
        <w:t xml:space="preserve"> </w:t>
      </w:r>
    </w:p>
  </w:footnote>
  <w:footnote w:id="2">
    <w:p w:rsidR="000E720D" w:rsidRDefault="000E720D" w:rsidP="00605096">
      <w:pPr>
        <w:pStyle w:val="FootnoteText"/>
      </w:pPr>
      <w:r>
        <w:rPr>
          <w:rStyle w:val="FootnoteReference"/>
        </w:rPr>
        <w:footnoteRef/>
      </w:r>
      <w:r>
        <w:t xml:space="preserve"> Nouveau paradigme de gestion qui permet d’améliorer la coopération entre les équipes</w:t>
      </w:r>
      <w:r w:rsidRPr="008C4FD6">
        <w:t xml:space="preserve"> du </w:t>
      </w:r>
      <w:proofErr w:type="spellStart"/>
      <w:r w:rsidRPr="008C4FD6">
        <w:t>DEVeloppement</w:t>
      </w:r>
      <w:proofErr w:type="spellEnd"/>
      <w:r w:rsidRPr="008C4FD6">
        <w:t xml:space="preserve"> et </w:t>
      </w:r>
      <w:r>
        <w:t>l</w:t>
      </w:r>
      <w:r w:rsidRPr="008C4FD6">
        <w:t xml:space="preserve">es </w:t>
      </w:r>
      <w:r>
        <w:t xml:space="preserve">équipes </w:t>
      </w:r>
      <w:proofErr w:type="spellStart"/>
      <w:r w:rsidRPr="008C4FD6">
        <w:t>OPérationS</w:t>
      </w:r>
      <w:proofErr w:type="spellEnd"/>
      <w:r>
        <w:t xml:space="preserve"> </w:t>
      </w:r>
      <w:r w:rsidRPr="008C4FD6">
        <w:t xml:space="preserve">avec </w:t>
      </w:r>
      <w:r w:rsidR="00605096">
        <w:t>des</w:t>
      </w:r>
      <w:r w:rsidRPr="008C4FD6">
        <w:t xml:space="preserve"> méthodes autour de l’agilité</w:t>
      </w:r>
      <w:r>
        <w:t xml:space="preserve">. </w:t>
      </w:r>
    </w:p>
  </w:footnote>
  <w:footnote w:id="3">
    <w:p w:rsidR="000E720D" w:rsidRDefault="000E720D">
      <w:pPr>
        <w:pStyle w:val="FootnoteText"/>
      </w:pPr>
      <w:r>
        <w:rPr>
          <w:rStyle w:val="FootnoteReference"/>
        </w:rPr>
        <w:footnoteRef/>
      </w:r>
      <w:r>
        <w:t xml:space="preserve">  Taille minimale optimale </w:t>
      </w:r>
    </w:p>
  </w:footnote>
  <w:footnote w:id="4">
    <w:p w:rsidR="000E720D" w:rsidRDefault="000E720D">
      <w:pPr>
        <w:pStyle w:val="FootnoteText"/>
      </w:pPr>
      <w:r>
        <w:rPr>
          <w:rStyle w:val="FootnoteReference"/>
        </w:rPr>
        <w:footnoteRef/>
      </w:r>
      <w:r>
        <w:t xml:space="preserve"> Nous vérifierons cette affirmation dans la prochaine fiche. </w:t>
      </w:r>
    </w:p>
  </w:footnote>
  <w:footnote w:id="5">
    <w:p w:rsidR="000E720D" w:rsidRDefault="000E720D" w:rsidP="00F33FEA">
      <w:pPr>
        <w:pStyle w:val="FootnoteText"/>
      </w:pPr>
      <w:r>
        <w:rPr>
          <w:rStyle w:val="FootnoteReference"/>
        </w:rPr>
        <w:footnoteRef/>
      </w:r>
      <w:r w:rsidR="009117A5">
        <w:t xml:space="preserve"> </w:t>
      </w:r>
      <w:r>
        <w:t xml:space="preserve">Ces services peuvent être payants ou gratuites ou incluses dans les frais des transactions.  </w:t>
      </w:r>
    </w:p>
  </w:footnote>
  <w:footnote w:id="6">
    <w:p w:rsidR="000E720D" w:rsidRDefault="000E720D">
      <w:pPr>
        <w:pStyle w:val="FootnoteText"/>
      </w:pPr>
      <w:r>
        <w:rPr>
          <w:rStyle w:val="FootnoteReference"/>
        </w:rPr>
        <w:footnoteRef/>
      </w:r>
      <w:r>
        <w:t xml:space="preserve"> Les MOOC peuvent être préparés par des consultants experts et séniors pour des consultants moins jeunes. Ce qui constituera un revenu supplémentaire pour ces experts à travers la plateforme. </w:t>
      </w:r>
    </w:p>
  </w:footnote>
  <w:footnote w:id="7">
    <w:p w:rsidR="000E720D" w:rsidRDefault="000E720D" w:rsidP="00F33FEA">
      <w:pPr>
        <w:pStyle w:val="FootnoteText"/>
      </w:pPr>
      <w:r>
        <w:rPr>
          <w:rStyle w:val="FootnoteReference"/>
        </w:rPr>
        <w:footnoteRef/>
      </w:r>
      <w:r>
        <w:t xml:space="preserve"> Par exemple un CRM et un système de comptabilité et de gestion pour les consultants indépendants. </w:t>
      </w:r>
    </w:p>
  </w:footnote>
  <w:footnote w:id="8">
    <w:p w:rsidR="000E720D" w:rsidRDefault="000E720D">
      <w:pPr>
        <w:pStyle w:val="FootnoteText"/>
      </w:pPr>
      <w:r>
        <w:rPr>
          <w:rStyle w:val="FootnoteReference"/>
        </w:rPr>
        <w:footnoteRef/>
      </w:r>
      <w:r>
        <w:t xml:space="preserve"> Ou bien d’autres acteurs comme les sites de freelance. </w:t>
      </w:r>
    </w:p>
  </w:footnote>
  <w:footnote w:id="9">
    <w:p w:rsidR="000E720D" w:rsidRPr="00F40326" w:rsidRDefault="000E720D" w:rsidP="00F40326">
      <w:pPr>
        <w:pStyle w:val="FootnoteText"/>
      </w:pPr>
      <w:r>
        <w:rPr>
          <w:rStyle w:val="FootnoteReference"/>
        </w:rPr>
        <w:footnoteRef/>
      </w:r>
      <w:r w:rsidRPr="00F40326">
        <w:t xml:space="preserve"> D’ailleurs nous n’avons pas ou très peu </w:t>
      </w:r>
      <w:r>
        <w:t xml:space="preserve">d’informations sur ces très petites entreprises. </w:t>
      </w:r>
    </w:p>
  </w:footnote>
  <w:footnote w:id="10">
    <w:p w:rsidR="000E720D" w:rsidRDefault="000E720D" w:rsidP="00842094">
      <w:pPr>
        <w:pStyle w:val="FootnoteText"/>
      </w:pPr>
      <w:r>
        <w:rPr>
          <w:rStyle w:val="FootnoteReference"/>
        </w:rPr>
        <w:footnoteRef/>
      </w:r>
      <w:r>
        <w:t xml:space="preserve"> Cf. onglet « </w:t>
      </w:r>
      <w:r w:rsidRPr="00842094">
        <w:t>Top 100 traitement</w:t>
      </w:r>
      <w:r>
        <w:t xml:space="preserve"> » du document Excel joint à cette étude pour les détails de chaque entreprise de l’échantillon </w:t>
      </w:r>
    </w:p>
  </w:footnote>
  <w:footnote w:id="11">
    <w:p w:rsidR="00057393" w:rsidRDefault="00057393">
      <w:pPr>
        <w:pStyle w:val="FootnoteText"/>
      </w:pPr>
      <w:r>
        <w:rPr>
          <w:rStyle w:val="FootnoteReference"/>
        </w:rPr>
        <w:footnoteRef/>
      </w:r>
      <w:r>
        <w:t xml:space="preserve"> La TMO est calculée dans la fiche 2. </w:t>
      </w:r>
    </w:p>
  </w:footnote>
  <w:footnote w:id="12">
    <w:p w:rsidR="00057393" w:rsidRDefault="00057393">
      <w:pPr>
        <w:pStyle w:val="FootnoteText"/>
      </w:pPr>
      <w:r>
        <w:rPr>
          <w:rStyle w:val="FootnoteReference"/>
        </w:rPr>
        <w:footnoteRef/>
      </w:r>
      <w:r>
        <w:t xml:space="preserve"> Le TCAM est calculé dans la fiche 1.</w:t>
      </w:r>
    </w:p>
  </w:footnote>
  <w:footnote w:id="13">
    <w:p w:rsidR="000E720D" w:rsidRDefault="000E720D" w:rsidP="006E66CB">
      <w:pPr>
        <w:pStyle w:val="FootnoteText"/>
      </w:pPr>
      <w:r>
        <w:rPr>
          <w:rStyle w:val="FootnoteReference"/>
        </w:rPr>
        <w:footnoteRef/>
      </w:r>
      <w:r>
        <w:t xml:space="preserve"> Source : livre « Business Model Nouvelle Génération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0E720D" w:rsidRPr="00005D16" w:rsidTr="00B8400E">
      <w:trPr>
        <w:cantSplit/>
        <w:trHeight w:val="154"/>
      </w:trPr>
      <w:tc>
        <w:tcPr>
          <w:tcW w:w="20" w:type="dxa"/>
          <w:shd w:val="clear" w:color="auto" w:fill="auto"/>
          <w:vAlign w:val="center"/>
        </w:tcPr>
        <w:p w:rsidR="000E720D" w:rsidRPr="00160060" w:rsidRDefault="008409D6" w:rsidP="00AF22F5">
          <w:pPr>
            <w:rPr>
              <w:rFonts w:cs="Tahoma"/>
            </w:rPr>
          </w:pPr>
          <w:r>
            <w:rPr>
              <w:noProof/>
            </w:rPr>
            <w:pict>
              <v:rect id="Rectangle 2" o:spid="_x0000_s2049" style="position:absolute;left:0;text-align:left;margin-left:-25.6pt;margin-top:-329.75pt;width:18pt;height:114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" stroked="f">
                <v:fill color2="#fc0" rotate="t" focus="100%" type="gradient"/>
              </v:rect>
            </w:pict>
          </w:r>
        </w:p>
      </w:tc>
      <w:tc>
        <w:tcPr>
          <w:tcW w:w="9619" w:type="dxa"/>
          <w:vAlign w:val="center"/>
        </w:tcPr>
        <w:p w:rsidR="000E720D" w:rsidRPr="00FA5187" w:rsidRDefault="000E720D" w:rsidP="00AE52F1">
          <w:pPr>
            <w:pStyle w:val="Heading9"/>
          </w:pPr>
          <w:r w:rsidRPr="00241E1F">
            <w:t xml:space="preserve">                </w:t>
          </w:r>
          <w:r>
            <w:t xml:space="preserve">            </w:t>
          </w:r>
          <w:r w:rsidRPr="00241E1F">
            <w:t xml:space="preserve"> </w:t>
          </w:r>
          <w:fldSimple w:instr=" DOCPROPERTY  Client  \* MERGEFORMAT ">
            <w:r w:rsidR="003B30F2">
              <w:t>CNAM et Université Paris Diderot</w:t>
            </w:r>
          </w:fldSimple>
          <w:r w:rsidRPr="00241E1F">
            <w:t xml:space="preserve"> - </w:t>
          </w:r>
          <w:fldSimple w:instr=" DOCPROPERTY  Destination  \* MERGEFORMAT ">
            <w:r w:rsidR="003B30F2">
              <w:t>EPT204</w:t>
            </w:r>
          </w:fldSimple>
          <w:r>
            <w:t xml:space="preserve"> – Analyse sectorielle - Fiche 3 : la segmentation stratégique </w:t>
          </w:r>
          <w:r w:rsidR="00AE52F1">
            <w:t>–</w:t>
          </w:r>
          <w:r w:rsidRPr="00FA5187">
            <w:t xml:space="preserve"> </w:t>
          </w:r>
          <w:r w:rsidR="00AE52F1">
            <w:t>mai 2016</w:t>
          </w:r>
        </w:p>
      </w:tc>
      <w:tc>
        <w:tcPr>
          <w:tcW w:w="142" w:type="dxa"/>
          <w:vAlign w:val="center"/>
        </w:tcPr>
        <w:p w:rsidR="000E720D" w:rsidRPr="00B8400E" w:rsidRDefault="000E720D" w:rsidP="00AF22F5"/>
      </w:tc>
    </w:tr>
  </w:tbl>
  <w:p w:rsidR="000E720D" w:rsidRPr="00005D16" w:rsidRDefault="000E720D" w:rsidP="00241E1F">
    <w:pP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0D" w:rsidRDefault="000E720D">
    <w:pPr>
      <w:pStyle w:val="Header"/>
    </w:pPr>
    <w:r>
      <w:rPr>
        <w:noProof/>
      </w:rPr>
      <w:drawing>
        <wp:anchor distT="0" distB="0" distL="114300" distR="114300" simplePos="0" relativeHeight="251656704" behindDoc="0" locked="0" layoutInCell="1" allowOverlap="1" wp14:anchorId="6FE9AB26" wp14:editId="7257B5A8">
          <wp:simplePos x="0" y="0"/>
          <wp:positionH relativeFrom="column">
            <wp:posOffset>3656330</wp:posOffset>
          </wp:positionH>
          <wp:positionV relativeFrom="paragraph">
            <wp:posOffset>-106680</wp:posOffset>
          </wp:positionV>
          <wp:extent cx="2459355" cy="636270"/>
          <wp:effectExtent l="0" t="0" r="0" b="0"/>
          <wp:wrapSquare wrapText="bothSides"/>
          <wp:docPr id="10" name="Picture 10"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29E0DAC1" wp14:editId="3234E72B">
          <wp:simplePos x="0" y="0"/>
          <wp:positionH relativeFrom="column">
            <wp:posOffset>-1270</wp:posOffset>
          </wp:positionH>
          <wp:positionV relativeFrom="paragraph">
            <wp:posOffset>-114935</wp:posOffset>
          </wp:positionV>
          <wp:extent cx="1772285" cy="717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of_Paris_Diderot_Universit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2285" cy="717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A00"/>
    <w:multiLevelType w:val="hybridMultilevel"/>
    <w:tmpl w:val="9E8E27C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 w15:restartNumberingAfterBreak="0">
    <w:nsid w:val="02936C90"/>
    <w:multiLevelType w:val="hybridMultilevel"/>
    <w:tmpl w:val="3092A0F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C076F"/>
    <w:multiLevelType w:val="multilevel"/>
    <w:tmpl w:val="4250660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fr-FR"/>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3805CBE"/>
    <w:multiLevelType w:val="hybridMultilevel"/>
    <w:tmpl w:val="67AA78C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5" w15:restartNumberingAfterBreak="0">
    <w:nsid w:val="1AB12D8A"/>
    <w:multiLevelType w:val="hybridMultilevel"/>
    <w:tmpl w:val="89AC3226"/>
    <w:lvl w:ilvl="0" w:tplc="AEDEFD7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803C2"/>
    <w:multiLevelType w:val="hybridMultilevel"/>
    <w:tmpl w:val="9FF87FC6"/>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7" w15:restartNumberingAfterBreak="0">
    <w:nsid w:val="244E6F67"/>
    <w:multiLevelType w:val="hybridMultilevel"/>
    <w:tmpl w:val="0E645DE2"/>
    <w:lvl w:ilvl="0" w:tplc="AEDEFD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0D7E7D"/>
    <w:multiLevelType w:val="hybridMultilevel"/>
    <w:tmpl w:val="8BF82F58"/>
    <w:lvl w:ilvl="0" w:tplc="D7E063F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E1E789E"/>
    <w:multiLevelType w:val="hybridMultilevel"/>
    <w:tmpl w:val="4F4215AE"/>
    <w:lvl w:ilvl="0" w:tplc="082AB75C">
      <w:start w:val="1"/>
      <w:numFmt w:val="bullet"/>
      <w:lvlText w:val=""/>
      <w:lvlJc w:val="left"/>
      <w:pPr>
        <w:ind w:left="720" w:hanging="360"/>
      </w:pPr>
      <w:rPr>
        <w:rFonts w:ascii="Symbol" w:hAnsi="Symbol" w:hint="default"/>
      </w:rPr>
    </w:lvl>
    <w:lvl w:ilvl="1" w:tplc="D6F65396">
      <w:start w:val="1"/>
      <w:numFmt w:val="bullet"/>
      <w:lvlText w:val="o"/>
      <w:lvlJc w:val="left"/>
      <w:pPr>
        <w:ind w:left="1440" w:hanging="360"/>
      </w:pPr>
      <w:rPr>
        <w:rFonts w:ascii="Courier New" w:hAnsi="Courier New" w:hint="default"/>
      </w:rPr>
    </w:lvl>
    <w:lvl w:ilvl="2" w:tplc="17965620">
      <w:start w:val="1"/>
      <w:numFmt w:val="bullet"/>
      <w:lvlText w:val=""/>
      <w:lvlJc w:val="left"/>
      <w:pPr>
        <w:ind w:left="2160" w:hanging="360"/>
      </w:pPr>
      <w:rPr>
        <w:rFonts w:ascii="Wingdings" w:hAnsi="Wingdings" w:hint="default"/>
      </w:rPr>
    </w:lvl>
    <w:lvl w:ilvl="3" w:tplc="90EE89FE">
      <w:start w:val="1"/>
      <w:numFmt w:val="bullet"/>
      <w:lvlText w:val=""/>
      <w:lvlJc w:val="left"/>
      <w:pPr>
        <w:ind w:left="2880" w:hanging="360"/>
      </w:pPr>
      <w:rPr>
        <w:rFonts w:ascii="Symbol" w:hAnsi="Symbol" w:hint="default"/>
      </w:rPr>
    </w:lvl>
    <w:lvl w:ilvl="4" w:tplc="6032FCB2">
      <w:start w:val="1"/>
      <w:numFmt w:val="bullet"/>
      <w:lvlText w:val="o"/>
      <w:lvlJc w:val="left"/>
      <w:pPr>
        <w:ind w:left="3600" w:hanging="360"/>
      </w:pPr>
      <w:rPr>
        <w:rFonts w:ascii="Courier New" w:hAnsi="Courier New" w:hint="default"/>
      </w:rPr>
    </w:lvl>
    <w:lvl w:ilvl="5" w:tplc="D8D05DD4">
      <w:start w:val="1"/>
      <w:numFmt w:val="bullet"/>
      <w:lvlText w:val=""/>
      <w:lvlJc w:val="left"/>
      <w:pPr>
        <w:ind w:left="4320" w:hanging="360"/>
      </w:pPr>
      <w:rPr>
        <w:rFonts w:ascii="Wingdings" w:hAnsi="Wingdings" w:hint="default"/>
      </w:rPr>
    </w:lvl>
    <w:lvl w:ilvl="6" w:tplc="0F441418">
      <w:start w:val="1"/>
      <w:numFmt w:val="bullet"/>
      <w:lvlText w:val=""/>
      <w:lvlJc w:val="left"/>
      <w:pPr>
        <w:ind w:left="5040" w:hanging="360"/>
      </w:pPr>
      <w:rPr>
        <w:rFonts w:ascii="Symbol" w:hAnsi="Symbol" w:hint="default"/>
      </w:rPr>
    </w:lvl>
    <w:lvl w:ilvl="7" w:tplc="5BE604FC">
      <w:start w:val="1"/>
      <w:numFmt w:val="bullet"/>
      <w:lvlText w:val="o"/>
      <w:lvlJc w:val="left"/>
      <w:pPr>
        <w:ind w:left="5760" w:hanging="360"/>
      </w:pPr>
      <w:rPr>
        <w:rFonts w:ascii="Courier New" w:hAnsi="Courier New" w:hint="default"/>
      </w:rPr>
    </w:lvl>
    <w:lvl w:ilvl="8" w:tplc="A9246A6A">
      <w:start w:val="1"/>
      <w:numFmt w:val="bullet"/>
      <w:lvlText w:val=""/>
      <w:lvlJc w:val="left"/>
      <w:pPr>
        <w:ind w:left="6480" w:hanging="360"/>
      </w:pPr>
      <w:rPr>
        <w:rFonts w:ascii="Wingdings" w:hAnsi="Wingdings" w:hint="default"/>
      </w:rPr>
    </w:lvl>
  </w:abstractNum>
  <w:abstractNum w:abstractNumId="10" w15:restartNumberingAfterBreak="0">
    <w:nsid w:val="307C3A8F"/>
    <w:multiLevelType w:val="hybridMultilevel"/>
    <w:tmpl w:val="D10A1570"/>
    <w:lvl w:ilvl="0" w:tplc="85DCE5F0">
      <w:numFmt w:val="bullet"/>
      <w:lvlText w:val=""/>
      <w:lvlJc w:val="left"/>
      <w:pPr>
        <w:ind w:left="502" w:hanging="360"/>
      </w:pPr>
      <w:rPr>
        <w:rFonts w:ascii="Symbol" w:eastAsia="Times New Roman"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1553562"/>
    <w:multiLevelType w:val="hybridMultilevel"/>
    <w:tmpl w:val="3930494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3ADB10A6"/>
    <w:multiLevelType w:val="hybridMultilevel"/>
    <w:tmpl w:val="A82898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4" w15:restartNumberingAfterBreak="0">
    <w:nsid w:val="44344513"/>
    <w:multiLevelType w:val="hybridMultilevel"/>
    <w:tmpl w:val="7D0CD1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4A47D20"/>
    <w:multiLevelType w:val="hybridMultilevel"/>
    <w:tmpl w:val="2CC00B7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6" w15:restartNumberingAfterBreak="0">
    <w:nsid w:val="44A77D88"/>
    <w:multiLevelType w:val="hybridMultilevel"/>
    <w:tmpl w:val="34C4D08E"/>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5191037"/>
    <w:multiLevelType w:val="hybridMultilevel"/>
    <w:tmpl w:val="63F8842E"/>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19" w15:restartNumberingAfterBreak="0">
    <w:nsid w:val="4E026322"/>
    <w:multiLevelType w:val="hybridMultilevel"/>
    <w:tmpl w:val="F042BAFE"/>
    <w:lvl w:ilvl="0" w:tplc="55F860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747793"/>
    <w:multiLevelType w:val="hybridMultilevel"/>
    <w:tmpl w:val="83E8D0B8"/>
    <w:lvl w:ilvl="0" w:tplc="7D548688">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53E07408"/>
    <w:multiLevelType w:val="hybridMultilevel"/>
    <w:tmpl w:val="6E868C7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58230CA8"/>
    <w:multiLevelType w:val="hybridMultilevel"/>
    <w:tmpl w:val="757EEE3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5E65050B"/>
    <w:multiLevelType w:val="hybridMultilevel"/>
    <w:tmpl w:val="472CDA4E"/>
    <w:lvl w:ilvl="0" w:tplc="18780662">
      <w:start w:val="620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63D10DA0"/>
    <w:multiLevelType w:val="hybridMultilevel"/>
    <w:tmpl w:val="17D8FA52"/>
    <w:lvl w:ilvl="0" w:tplc="182811D2">
      <w:numFmt w:val="bullet"/>
      <w:lvlText w:val=""/>
      <w:lvlJc w:val="left"/>
      <w:pPr>
        <w:ind w:left="502" w:hanging="360"/>
      </w:pPr>
      <w:rPr>
        <w:rFonts w:ascii="Symbol" w:eastAsia="Times New Roman"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42D4C50"/>
    <w:multiLevelType w:val="hybridMultilevel"/>
    <w:tmpl w:val="2DA22060"/>
    <w:lvl w:ilvl="0" w:tplc="745A032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5124185"/>
    <w:multiLevelType w:val="hybridMultilevel"/>
    <w:tmpl w:val="97D433B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65970C5B"/>
    <w:multiLevelType w:val="hybridMultilevel"/>
    <w:tmpl w:val="804E8FB4"/>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8" w15:restartNumberingAfterBreak="0">
    <w:nsid w:val="669066C1"/>
    <w:multiLevelType w:val="hybridMultilevel"/>
    <w:tmpl w:val="786AE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F5074F"/>
    <w:multiLevelType w:val="hybridMultilevel"/>
    <w:tmpl w:val="3232FFAC"/>
    <w:lvl w:ilvl="0" w:tplc="040C000B">
      <w:start w:val="1"/>
      <w:numFmt w:val="bullet"/>
      <w:lvlText w:val=""/>
      <w:lvlJc w:val="left"/>
      <w:pPr>
        <w:ind w:left="933" w:hanging="360"/>
      </w:pPr>
      <w:rPr>
        <w:rFonts w:ascii="Wingdings" w:hAnsi="Wingdings"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0" w15:restartNumberingAfterBreak="0">
    <w:nsid w:val="69CB515C"/>
    <w:multiLevelType w:val="hybridMultilevel"/>
    <w:tmpl w:val="1FF097A6"/>
    <w:lvl w:ilvl="0" w:tplc="63B457EA">
      <w:numFmt w:val="bullet"/>
      <w:lvlText w:val=""/>
      <w:lvlJc w:val="left"/>
      <w:pPr>
        <w:ind w:left="502" w:hanging="360"/>
      </w:pPr>
      <w:rPr>
        <w:rFonts w:ascii="Wingdings" w:eastAsia="Times New Roman"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6CF71C4D"/>
    <w:multiLevelType w:val="hybridMultilevel"/>
    <w:tmpl w:val="68785208"/>
    <w:lvl w:ilvl="0" w:tplc="64EC4F9C">
      <w:start w:val="1"/>
      <w:numFmt w:val="bullet"/>
      <w:lvlText w:val="-"/>
      <w:lvlJc w:val="left"/>
      <w:pPr>
        <w:ind w:left="573" w:hanging="360"/>
      </w:pPr>
      <w:rPr>
        <w:rFonts w:ascii="Arial" w:eastAsia="Times New Roman" w:hAnsi="Arial" w:cs="Arial"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32" w15:restartNumberingAfterBreak="0">
    <w:nsid w:val="6D0A7009"/>
    <w:multiLevelType w:val="hybridMultilevel"/>
    <w:tmpl w:val="BFAE23C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3" w15:restartNumberingAfterBreak="0">
    <w:nsid w:val="7A030A39"/>
    <w:multiLevelType w:val="hybridMultilevel"/>
    <w:tmpl w:val="AC5260F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4" w15:restartNumberingAfterBreak="0">
    <w:nsid w:val="7DF74364"/>
    <w:multiLevelType w:val="hybridMultilevel"/>
    <w:tmpl w:val="2FC892D6"/>
    <w:lvl w:ilvl="0" w:tplc="A90A85E6">
      <w:start w:val="1"/>
      <w:numFmt w:val="bullet"/>
      <w:lvlText w:val=""/>
      <w:lvlJc w:val="left"/>
      <w:pPr>
        <w:ind w:left="720" w:hanging="360"/>
      </w:pPr>
      <w:rPr>
        <w:rFonts w:ascii="Symbol" w:hAnsi="Symbol" w:hint="default"/>
      </w:rPr>
    </w:lvl>
    <w:lvl w:ilvl="1" w:tplc="2E18CD26">
      <w:start w:val="1"/>
      <w:numFmt w:val="bullet"/>
      <w:lvlText w:val="o"/>
      <w:lvlJc w:val="left"/>
      <w:pPr>
        <w:ind w:left="1440" w:hanging="360"/>
      </w:pPr>
      <w:rPr>
        <w:rFonts w:ascii="Courier New" w:hAnsi="Courier New" w:hint="default"/>
      </w:rPr>
    </w:lvl>
    <w:lvl w:ilvl="2" w:tplc="E68E55D8">
      <w:start w:val="1"/>
      <w:numFmt w:val="bullet"/>
      <w:lvlText w:val=""/>
      <w:lvlJc w:val="left"/>
      <w:pPr>
        <w:ind w:left="2160" w:hanging="360"/>
      </w:pPr>
      <w:rPr>
        <w:rFonts w:ascii="Wingdings" w:hAnsi="Wingdings" w:hint="default"/>
      </w:rPr>
    </w:lvl>
    <w:lvl w:ilvl="3" w:tplc="C966CD60">
      <w:start w:val="1"/>
      <w:numFmt w:val="bullet"/>
      <w:lvlText w:val=""/>
      <w:lvlJc w:val="left"/>
      <w:pPr>
        <w:ind w:left="2880" w:hanging="360"/>
      </w:pPr>
      <w:rPr>
        <w:rFonts w:ascii="Symbol" w:hAnsi="Symbol" w:hint="default"/>
      </w:rPr>
    </w:lvl>
    <w:lvl w:ilvl="4" w:tplc="87CE7130">
      <w:start w:val="1"/>
      <w:numFmt w:val="bullet"/>
      <w:lvlText w:val="o"/>
      <w:lvlJc w:val="left"/>
      <w:pPr>
        <w:ind w:left="3600" w:hanging="360"/>
      </w:pPr>
      <w:rPr>
        <w:rFonts w:ascii="Courier New" w:hAnsi="Courier New" w:hint="default"/>
      </w:rPr>
    </w:lvl>
    <w:lvl w:ilvl="5" w:tplc="A08CA8EA">
      <w:start w:val="1"/>
      <w:numFmt w:val="bullet"/>
      <w:lvlText w:val=""/>
      <w:lvlJc w:val="left"/>
      <w:pPr>
        <w:ind w:left="4320" w:hanging="360"/>
      </w:pPr>
      <w:rPr>
        <w:rFonts w:ascii="Wingdings" w:hAnsi="Wingdings" w:hint="default"/>
      </w:rPr>
    </w:lvl>
    <w:lvl w:ilvl="6" w:tplc="A3B26C98">
      <w:start w:val="1"/>
      <w:numFmt w:val="bullet"/>
      <w:lvlText w:val=""/>
      <w:lvlJc w:val="left"/>
      <w:pPr>
        <w:ind w:left="5040" w:hanging="360"/>
      </w:pPr>
      <w:rPr>
        <w:rFonts w:ascii="Symbol" w:hAnsi="Symbol" w:hint="default"/>
      </w:rPr>
    </w:lvl>
    <w:lvl w:ilvl="7" w:tplc="9168C5E6">
      <w:start w:val="1"/>
      <w:numFmt w:val="bullet"/>
      <w:lvlText w:val="o"/>
      <w:lvlJc w:val="left"/>
      <w:pPr>
        <w:ind w:left="5760" w:hanging="360"/>
      </w:pPr>
      <w:rPr>
        <w:rFonts w:ascii="Courier New" w:hAnsi="Courier New" w:hint="default"/>
      </w:rPr>
    </w:lvl>
    <w:lvl w:ilvl="8" w:tplc="7ABCDCA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18"/>
  </w:num>
  <w:num w:numId="5">
    <w:abstractNumId w:val="27"/>
  </w:num>
  <w:num w:numId="6">
    <w:abstractNumId w:val="29"/>
  </w:num>
  <w:num w:numId="7">
    <w:abstractNumId w:val="13"/>
  </w:num>
  <w:num w:numId="8">
    <w:abstractNumId w:val="4"/>
  </w:num>
  <w:num w:numId="9">
    <w:abstractNumId w:val="15"/>
  </w:num>
  <w:num w:numId="10">
    <w:abstractNumId w:val="33"/>
  </w:num>
  <w:num w:numId="11">
    <w:abstractNumId w:val="0"/>
  </w:num>
  <w:num w:numId="12">
    <w:abstractNumId w:val="6"/>
  </w:num>
  <w:num w:numId="13">
    <w:abstractNumId w:val="31"/>
  </w:num>
  <w:num w:numId="14">
    <w:abstractNumId w:val="28"/>
  </w:num>
  <w:num w:numId="15">
    <w:abstractNumId w:val="3"/>
  </w:num>
  <w:num w:numId="16">
    <w:abstractNumId w:val="3"/>
  </w:num>
  <w:num w:numId="17">
    <w:abstractNumId w:val="8"/>
  </w:num>
  <w:num w:numId="18">
    <w:abstractNumId w:val="9"/>
  </w:num>
  <w:num w:numId="19">
    <w:abstractNumId w:val="34"/>
  </w:num>
  <w:num w:numId="20">
    <w:abstractNumId w:val="23"/>
  </w:num>
  <w:num w:numId="21">
    <w:abstractNumId w:val="7"/>
  </w:num>
  <w:num w:numId="22">
    <w:abstractNumId w:val="32"/>
  </w:num>
  <w:num w:numId="23">
    <w:abstractNumId w:val="5"/>
  </w:num>
  <w:num w:numId="24">
    <w:abstractNumId w:val="25"/>
  </w:num>
  <w:num w:numId="25">
    <w:abstractNumId w:val="17"/>
  </w:num>
  <w:num w:numId="26">
    <w:abstractNumId w:val="19"/>
  </w:num>
  <w:num w:numId="27">
    <w:abstractNumId w:val="16"/>
  </w:num>
  <w:num w:numId="28">
    <w:abstractNumId w:val="1"/>
  </w:num>
  <w:num w:numId="29">
    <w:abstractNumId w:val="26"/>
  </w:num>
  <w:num w:numId="30">
    <w:abstractNumId w:val="21"/>
  </w:num>
  <w:num w:numId="31">
    <w:abstractNumId w:val="20"/>
  </w:num>
  <w:num w:numId="32">
    <w:abstractNumId w:val="10"/>
  </w:num>
  <w:num w:numId="33">
    <w:abstractNumId w:val="24"/>
  </w:num>
  <w:num w:numId="34">
    <w:abstractNumId w:val="30"/>
  </w:num>
  <w:num w:numId="35">
    <w:abstractNumId w:val="3"/>
  </w:num>
  <w:num w:numId="36">
    <w:abstractNumId w:val="3"/>
  </w:num>
  <w:num w:numId="37">
    <w:abstractNumId w:val="3"/>
  </w:num>
  <w:num w:numId="38">
    <w:abstractNumId w:val="11"/>
  </w:num>
  <w:num w:numId="39">
    <w:abstractNumId w:val="14"/>
  </w:num>
  <w:num w:numId="4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33FE"/>
    <w:rsid w:val="00005B1D"/>
    <w:rsid w:val="00005D16"/>
    <w:rsid w:val="000065E0"/>
    <w:rsid w:val="00006B9C"/>
    <w:rsid w:val="00006C11"/>
    <w:rsid w:val="000123F4"/>
    <w:rsid w:val="00012E75"/>
    <w:rsid w:val="000136C2"/>
    <w:rsid w:val="000137A4"/>
    <w:rsid w:val="00017D4C"/>
    <w:rsid w:val="00022E35"/>
    <w:rsid w:val="0002342B"/>
    <w:rsid w:val="00023B5D"/>
    <w:rsid w:val="00024793"/>
    <w:rsid w:val="000247C1"/>
    <w:rsid w:val="00025514"/>
    <w:rsid w:val="0002600E"/>
    <w:rsid w:val="00031A5F"/>
    <w:rsid w:val="000324E5"/>
    <w:rsid w:val="00036B30"/>
    <w:rsid w:val="00040AF4"/>
    <w:rsid w:val="00041825"/>
    <w:rsid w:val="00042653"/>
    <w:rsid w:val="000428D7"/>
    <w:rsid w:val="00043089"/>
    <w:rsid w:val="0004473C"/>
    <w:rsid w:val="000459C8"/>
    <w:rsid w:val="00045CC4"/>
    <w:rsid w:val="00051C12"/>
    <w:rsid w:val="0005274C"/>
    <w:rsid w:val="00052F77"/>
    <w:rsid w:val="00053F7C"/>
    <w:rsid w:val="0005560A"/>
    <w:rsid w:val="00057393"/>
    <w:rsid w:val="000610B6"/>
    <w:rsid w:val="00063FDA"/>
    <w:rsid w:val="00064CA3"/>
    <w:rsid w:val="000653B2"/>
    <w:rsid w:val="00066D92"/>
    <w:rsid w:val="0006733C"/>
    <w:rsid w:val="00067FC1"/>
    <w:rsid w:val="00070210"/>
    <w:rsid w:val="00070C55"/>
    <w:rsid w:val="00071146"/>
    <w:rsid w:val="00071A90"/>
    <w:rsid w:val="00074CEC"/>
    <w:rsid w:val="00075411"/>
    <w:rsid w:val="00075C46"/>
    <w:rsid w:val="00075F47"/>
    <w:rsid w:val="00076ADA"/>
    <w:rsid w:val="00076C22"/>
    <w:rsid w:val="00077FD2"/>
    <w:rsid w:val="0008181C"/>
    <w:rsid w:val="000848B7"/>
    <w:rsid w:val="00084AFA"/>
    <w:rsid w:val="00086922"/>
    <w:rsid w:val="00090890"/>
    <w:rsid w:val="000917A7"/>
    <w:rsid w:val="00095C98"/>
    <w:rsid w:val="00096829"/>
    <w:rsid w:val="000A3C40"/>
    <w:rsid w:val="000A5669"/>
    <w:rsid w:val="000A6693"/>
    <w:rsid w:val="000B02CB"/>
    <w:rsid w:val="000B36B1"/>
    <w:rsid w:val="000B37C5"/>
    <w:rsid w:val="000B3C18"/>
    <w:rsid w:val="000B5BC0"/>
    <w:rsid w:val="000B6BE7"/>
    <w:rsid w:val="000B767B"/>
    <w:rsid w:val="000C0057"/>
    <w:rsid w:val="000C2B17"/>
    <w:rsid w:val="000C2CD0"/>
    <w:rsid w:val="000C30BC"/>
    <w:rsid w:val="000C5761"/>
    <w:rsid w:val="000C5DD0"/>
    <w:rsid w:val="000C6BE6"/>
    <w:rsid w:val="000D395C"/>
    <w:rsid w:val="000D7207"/>
    <w:rsid w:val="000D7BB1"/>
    <w:rsid w:val="000E024F"/>
    <w:rsid w:val="000E049C"/>
    <w:rsid w:val="000E23C1"/>
    <w:rsid w:val="000E275F"/>
    <w:rsid w:val="000E29AF"/>
    <w:rsid w:val="000E2E27"/>
    <w:rsid w:val="000E542B"/>
    <w:rsid w:val="000E720D"/>
    <w:rsid w:val="000E7844"/>
    <w:rsid w:val="000E7D8A"/>
    <w:rsid w:val="000F5B7C"/>
    <w:rsid w:val="000F5FBB"/>
    <w:rsid w:val="00101818"/>
    <w:rsid w:val="00101F63"/>
    <w:rsid w:val="00103731"/>
    <w:rsid w:val="00103DF4"/>
    <w:rsid w:val="00116E6C"/>
    <w:rsid w:val="0011755B"/>
    <w:rsid w:val="00120BFE"/>
    <w:rsid w:val="001217AD"/>
    <w:rsid w:val="001221B4"/>
    <w:rsid w:val="00122861"/>
    <w:rsid w:val="00122CA5"/>
    <w:rsid w:val="00124B4C"/>
    <w:rsid w:val="00125B26"/>
    <w:rsid w:val="0012697C"/>
    <w:rsid w:val="00126F7D"/>
    <w:rsid w:val="00130D05"/>
    <w:rsid w:val="00132882"/>
    <w:rsid w:val="001329E0"/>
    <w:rsid w:val="00133020"/>
    <w:rsid w:val="001331F4"/>
    <w:rsid w:val="00134BBF"/>
    <w:rsid w:val="00135466"/>
    <w:rsid w:val="00136830"/>
    <w:rsid w:val="00140757"/>
    <w:rsid w:val="0014075C"/>
    <w:rsid w:val="00140DC2"/>
    <w:rsid w:val="00140E6A"/>
    <w:rsid w:val="00141989"/>
    <w:rsid w:val="00141DC1"/>
    <w:rsid w:val="00141FC7"/>
    <w:rsid w:val="001426D4"/>
    <w:rsid w:val="00142E96"/>
    <w:rsid w:val="00144A62"/>
    <w:rsid w:val="00145C6B"/>
    <w:rsid w:val="001475ED"/>
    <w:rsid w:val="00151B5F"/>
    <w:rsid w:val="001524AE"/>
    <w:rsid w:val="00153F17"/>
    <w:rsid w:val="00154B2F"/>
    <w:rsid w:val="00155A75"/>
    <w:rsid w:val="00155C82"/>
    <w:rsid w:val="0016087F"/>
    <w:rsid w:val="00164932"/>
    <w:rsid w:val="0016567A"/>
    <w:rsid w:val="00170AB7"/>
    <w:rsid w:val="00171065"/>
    <w:rsid w:val="00171221"/>
    <w:rsid w:val="00171469"/>
    <w:rsid w:val="00171F96"/>
    <w:rsid w:val="0017280C"/>
    <w:rsid w:val="00174175"/>
    <w:rsid w:val="0017531F"/>
    <w:rsid w:val="001762CA"/>
    <w:rsid w:val="00180438"/>
    <w:rsid w:val="00180769"/>
    <w:rsid w:val="001818D8"/>
    <w:rsid w:val="00182629"/>
    <w:rsid w:val="00184C77"/>
    <w:rsid w:val="00185B47"/>
    <w:rsid w:val="00187018"/>
    <w:rsid w:val="0018723F"/>
    <w:rsid w:val="00187671"/>
    <w:rsid w:val="00187FE6"/>
    <w:rsid w:val="00190599"/>
    <w:rsid w:val="00190778"/>
    <w:rsid w:val="001961B5"/>
    <w:rsid w:val="001967D1"/>
    <w:rsid w:val="00196AA0"/>
    <w:rsid w:val="001A13CC"/>
    <w:rsid w:val="001A16CE"/>
    <w:rsid w:val="001A20B9"/>
    <w:rsid w:val="001A21DD"/>
    <w:rsid w:val="001A57ED"/>
    <w:rsid w:val="001A7C2D"/>
    <w:rsid w:val="001A7F5A"/>
    <w:rsid w:val="001B2AD3"/>
    <w:rsid w:val="001B5554"/>
    <w:rsid w:val="001B7C09"/>
    <w:rsid w:val="001C1802"/>
    <w:rsid w:val="001C1EC3"/>
    <w:rsid w:val="001C2798"/>
    <w:rsid w:val="001C44C6"/>
    <w:rsid w:val="001C5FC3"/>
    <w:rsid w:val="001C65BE"/>
    <w:rsid w:val="001C78D7"/>
    <w:rsid w:val="001D26FD"/>
    <w:rsid w:val="001D292B"/>
    <w:rsid w:val="001D45A0"/>
    <w:rsid w:val="001E01B2"/>
    <w:rsid w:val="001E1AC3"/>
    <w:rsid w:val="001E20BF"/>
    <w:rsid w:val="001E3A76"/>
    <w:rsid w:val="001E40B3"/>
    <w:rsid w:val="001E417F"/>
    <w:rsid w:val="001E6A50"/>
    <w:rsid w:val="001E6B89"/>
    <w:rsid w:val="001E742B"/>
    <w:rsid w:val="001F4562"/>
    <w:rsid w:val="001F6645"/>
    <w:rsid w:val="001F6A4F"/>
    <w:rsid w:val="001F738D"/>
    <w:rsid w:val="001F7756"/>
    <w:rsid w:val="001F77E9"/>
    <w:rsid w:val="0020024E"/>
    <w:rsid w:val="002048FA"/>
    <w:rsid w:val="00205619"/>
    <w:rsid w:val="00205759"/>
    <w:rsid w:val="00205CF1"/>
    <w:rsid w:val="00207E5C"/>
    <w:rsid w:val="00216A69"/>
    <w:rsid w:val="00220225"/>
    <w:rsid w:val="00222FC8"/>
    <w:rsid w:val="002239B5"/>
    <w:rsid w:val="00224BB5"/>
    <w:rsid w:val="00226D25"/>
    <w:rsid w:val="0023267B"/>
    <w:rsid w:val="00232EB9"/>
    <w:rsid w:val="002333FE"/>
    <w:rsid w:val="00233961"/>
    <w:rsid w:val="00234915"/>
    <w:rsid w:val="002350D5"/>
    <w:rsid w:val="00236259"/>
    <w:rsid w:val="00237F19"/>
    <w:rsid w:val="00241E1F"/>
    <w:rsid w:val="00243448"/>
    <w:rsid w:val="00246865"/>
    <w:rsid w:val="00246F52"/>
    <w:rsid w:val="00247D1C"/>
    <w:rsid w:val="00250A6F"/>
    <w:rsid w:val="00251576"/>
    <w:rsid w:val="00251678"/>
    <w:rsid w:val="00251DED"/>
    <w:rsid w:val="00252B8D"/>
    <w:rsid w:val="00253E71"/>
    <w:rsid w:val="002542C0"/>
    <w:rsid w:val="00254514"/>
    <w:rsid w:val="00254921"/>
    <w:rsid w:val="00257B77"/>
    <w:rsid w:val="0026533B"/>
    <w:rsid w:val="00266F27"/>
    <w:rsid w:val="00270303"/>
    <w:rsid w:val="00270A1A"/>
    <w:rsid w:val="00272126"/>
    <w:rsid w:val="00272B30"/>
    <w:rsid w:val="002738D5"/>
    <w:rsid w:val="00273DAB"/>
    <w:rsid w:val="0027407E"/>
    <w:rsid w:val="002743B9"/>
    <w:rsid w:val="00274E33"/>
    <w:rsid w:val="002755A6"/>
    <w:rsid w:val="00276869"/>
    <w:rsid w:val="00281DD5"/>
    <w:rsid w:val="0028203A"/>
    <w:rsid w:val="0028482B"/>
    <w:rsid w:val="0028603B"/>
    <w:rsid w:val="00287705"/>
    <w:rsid w:val="00287ADF"/>
    <w:rsid w:val="00287BC9"/>
    <w:rsid w:val="00292C87"/>
    <w:rsid w:val="00294B24"/>
    <w:rsid w:val="00295447"/>
    <w:rsid w:val="00295E40"/>
    <w:rsid w:val="002A2F5D"/>
    <w:rsid w:val="002A3D33"/>
    <w:rsid w:val="002A3EC7"/>
    <w:rsid w:val="002A7AB7"/>
    <w:rsid w:val="002A7BCA"/>
    <w:rsid w:val="002B1915"/>
    <w:rsid w:val="002B1F23"/>
    <w:rsid w:val="002B4237"/>
    <w:rsid w:val="002B46D5"/>
    <w:rsid w:val="002B5AF2"/>
    <w:rsid w:val="002B660B"/>
    <w:rsid w:val="002B6A00"/>
    <w:rsid w:val="002B6AE5"/>
    <w:rsid w:val="002B7103"/>
    <w:rsid w:val="002B7675"/>
    <w:rsid w:val="002C5635"/>
    <w:rsid w:val="002D0290"/>
    <w:rsid w:val="002D2BBC"/>
    <w:rsid w:val="002D40AD"/>
    <w:rsid w:val="002D4BEB"/>
    <w:rsid w:val="002D5179"/>
    <w:rsid w:val="002D7F39"/>
    <w:rsid w:val="002E1482"/>
    <w:rsid w:val="002E2FF1"/>
    <w:rsid w:val="002E37F6"/>
    <w:rsid w:val="002E3E6C"/>
    <w:rsid w:val="002E4582"/>
    <w:rsid w:val="002E6456"/>
    <w:rsid w:val="002E78E4"/>
    <w:rsid w:val="002F0D8F"/>
    <w:rsid w:val="002F0FB4"/>
    <w:rsid w:val="002F2351"/>
    <w:rsid w:val="002F4D1B"/>
    <w:rsid w:val="00304DDD"/>
    <w:rsid w:val="00306898"/>
    <w:rsid w:val="00306FB9"/>
    <w:rsid w:val="00307FE4"/>
    <w:rsid w:val="003116D1"/>
    <w:rsid w:val="003142AC"/>
    <w:rsid w:val="00314D04"/>
    <w:rsid w:val="0032018A"/>
    <w:rsid w:val="00321148"/>
    <w:rsid w:val="00323EEE"/>
    <w:rsid w:val="00323F45"/>
    <w:rsid w:val="00324624"/>
    <w:rsid w:val="00326C02"/>
    <w:rsid w:val="0032754A"/>
    <w:rsid w:val="00331A06"/>
    <w:rsid w:val="003329BC"/>
    <w:rsid w:val="00333A04"/>
    <w:rsid w:val="003342F3"/>
    <w:rsid w:val="00335A7B"/>
    <w:rsid w:val="003372EF"/>
    <w:rsid w:val="003403A6"/>
    <w:rsid w:val="00340FF8"/>
    <w:rsid w:val="00342DD0"/>
    <w:rsid w:val="0034465B"/>
    <w:rsid w:val="00344A8F"/>
    <w:rsid w:val="00345166"/>
    <w:rsid w:val="00347814"/>
    <w:rsid w:val="00347A3B"/>
    <w:rsid w:val="00350463"/>
    <w:rsid w:val="003505CF"/>
    <w:rsid w:val="003525F0"/>
    <w:rsid w:val="003541D5"/>
    <w:rsid w:val="003556DB"/>
    <w:rsid w:val="00355F2A"/>
    <w:rsid w:val="003575EF"/>
    <w:rsid w:val="00361CE5"/>
    <w:rsid w:val="00362396"/>
    <w:rsid w:val="003627E9"/>
    <w:rsid w:val="00364A5D"/>
    <w:rsid w:val="00364D6A"/>
    <w:rsid w:val="00365B22"/>
    <w:rsid w:val="003673E1"/>
    <w:rsid w:val="0037092A"/>
    <w:rsid w:val="00370B53"/>
    <w:rsid w:val="00374692"/>
    <w:rsid w:val="00375098"/>
    <w:rsid w:val="003755FC"/>
    <w:rsid w:val="00375EAF"/>
    <w:rsid w:val="003802A8"/>
    <w:rsid w:val="00380BA0"/>
    <w:rsid w:val="00382B8F"/>
    <w:rsid w:val="0038471C"/>
    <w:rsid w:val="003866D5"/>
    <w:rsid w:val="0038797D"/>
    <w:rsid w:val="00387C5C"/>
    <w:rsid w:val="00387CEA"/>
    <w:rsid w:val="00390701"/>
    <w:rsid w:val="00391561"/>
    <w:rsid w:val="00391770"/>
    <w:rsid w:val="003937B7"/>
    <w:rsid w:val="003976E9"/>
    <w:rsid w:val="003A04F2"/>
    <w:rsid w:val="003A0EA4"/>
    <w:rsid w:val="003A23DB"/>
    <w:rsid w:val="003A3AEE"/>
    <w:rsid w:val="003A6286"/>
    <w:rsid w:val="003A6D72"/>
    <w:rsid w:val="003A7610"/>
    <w:rsid w:val="003B035D"/>
    <w:rsid w:val="003B30F2"/>
    <w:rsid w:val="003B37F6"/>
    <w:rsid w:val="003B704F"/>
    <w:rsid w:val="003B7309"/>
    <w:rsid w:val="003C09D0"/>
    <w:rsid w:val="003C1220"/>
    <w:rsid w:val="003C1409"/>
    <w:rsid w:val="003C22FD"/>
    <w:rsid w:val="003C2572"/>
    <w:rsid w:val="003C4564"/>
    <w:rsid w:val="003D10AD"/>
    <w:rsid w:val="003D1C50"/>
    <w:rsid w:val="003D208F"/>
    <w:rsid w:val="003D2BA7"/>
    <w:rsid w:val="003D408C"/>
    <w:rsid w:val="003D4C38"/>
    <w:rsid w:val="003D79F9"/>
    <w:rsid w:val="003E1045"/>
    <w:rsid w:val="003E14C8"/>
    <w:rsid w:val="003E1DC8"/>
    <w:rsid w:val="003E2E88"/>
    <w:rsid w:val="003E4656"/>
    <w:rsid w:val="003E6313"/>
    <w:rsid w:val="003E7C38"/>
    <w:rsid w:val="003F14F4"/>
    <w:rsid w:val="00400AEB"/>
    <w:rsid w:val="0040100B"/>
    <w:rsid w:val="0040155D"/>
    <w:rsid w:val="0040161E"/>
    <w:rsid w:val="00402BA3"/>
    <w:rsid w:val="004038F4"/>
    <w:rsid w:val="004041FB"/>
    <w:rsid w:val="00405965"/>
    <w:rsid w:val="00405C8A"/>
    <w:rsid w:val="00406156"/>
    <w:rsid w:val="00410F91"/>
    <w:rsid w:val="0041103B"/>
    <w:rsid w:val="00412F54"/>
    <w:rsid w:val="00420ABB"/>
    <w:rsid w:val="00422E14"/>
    <w:rsid w:val="00422E3E"/>
    <w:rsid w:val="00424387"/>
    <w:rsid w:val="0042720F"/>
    <w:rsid w:val="00427E36"/>
    <w:rsid w:val="00431EF5"/>
    <w:rsid w:val="0043285E"/>
    <w:rsid w:val="00433810"/>
    <w:rsid w:val="00435625"/>
    <w:rsid w:val="00436FA2"/>
    <w:rsid w:val="00437267"/>
    <w:rsid w:val="00440B81"/>
    <w:rsid w:val="00441FCE"/>
    <w:rsid w:val="00442F8D"/>
    <w:rsid w:val="004443D6"/>
    <w:rsid w:val="00444AC5"/>
    <w:rsid w:val="004450D4"/>
    <w:rsid w:val="004458F2"/>
    <w:rsid w:val="00447ACA"/>
    <w:rsid w:val="004503D5"/>
    <w:rsid w:val="00450899"/>
    <w:rsid w:val="00451A77"/>
    <w:rsid w:val="00451FCE"/>
    <w:rsid w:val="004535CD"/>
    <w:rsid w:val="004549BB"/>
    <w:rsid w:val="00455945"/>
    <w:rsid w:val="00455AFF"/>
    <w:rsid w:val="004604F4"/>
    <w:rsid w:val="00460971"/>
    <w:rsid w:val="00461317"/>
    <w:rsid w:val="00462C8E"/>
    <w:rsid w:val="00464978"/>
    <w:rsid w:val="004668E2"/>
    <w:rsid w:val="00470611"/>
    <w:rsid w:val="00471105"/>
    <w:rsid w:val="00471714"/>
    <w:rsid w:val="00472C61"/>
    <w:rsid w:val="004732F8"/>
    <w:rsid w:val="00473DE2"/>
    <w:rsid w:val="0047431B"/>
    <w:rsid w:val="00475367"/>
    <w:rsid w:val="0047647E"/>
    <w:rsid w:val="00476602"/>
    <w:rsid w:val="004779C2"/>
    <w:rsid w:val="00480047"/>
    <w:rsid w:val="00484A29"/>
    <w:rsid w:val="0048527C"/>
    <w:rsid w:val="0048621F"/>
    <w:rsid w:val="00490082"/>
    <w:rsid w:val="00494B0C"/>
    <w:rsid w:val="00497AE8"/>
    <w:rsid w:val="004A102B"/>
    <w:rsid w:val="004A1394"/>
    <w:rsid w:val="004A1BB6"/>
    <w:rsid w:val="004A2520"/>
    <w:rsid w:val="004A307F"/>
    <w:rsid w:val="004A4072"/>
    <w:rsid w:val="004A623B"/>
    <w:rsid w:val="004A6255"/>
    <w:rsid w:val="004A70D4"/>
    <w:rsid w:val="004B2CF2"/>
    <w:rsid w:val="004B47A8"/>
    <w:rsid w:val="004B4DDD"/>
    <w:rsid w:val="004B6A04"/>
    <w:rsid w:val="004B75F3"/>
    <w:rsid w:val="004B7B4E"/>
    <w:rsid w:val="004C05B0"/>
    <w:rsid w:val="004C28DB"/>
    <w:rsid w:val="004C3C2E"/>
    <w:rsid w:val="004C4200"/>
    <w:rsid w:val="004C4FFC"/>
    <w:rsid w:val="004D14FF"/>
    <w:rsid w:val="004D32B1"/>
    <w:rsid w:val="004D39F4"/>
    <w:rsid w:val="004D5BCB"/>
    <w:rsid w:val="004E10C8"/>
    <w:rsid w:val="004E177B"/>
    <w:rsid w:val="004E33C2"/>
    <w:rsid w:val="004E63C4"/>
    <w:rsid w:val="004E6F06"/>
    <w:rsid w:val="004E735B"/>
    <w:rsid w:val="004E7450"/>
    <w:rsid w:val="004E7AF6"/>
    <w:rsid w:val="004F05D0"/>
    <w:rsid w:val="004F3BE6"/>
    <w:rsid w:val="004F457B"/>
    <w:rsid w:val="004F4BB0"/>
    <w:rsid w:val="004F54B9"/>
    <w:rsid w:val="004F58C5"/>
    <w:rsid w:val="004F59A0"/>
    <w:rsid w:val="00500D6B"/>
    <w:rsid w:val="005013DC"/>
    <w:rsid w:val="00501BB7"/>
    <w:rsid w:val="00502B76"/>
    <w:rsid w:val="00504F0C"/>
    <w:rsid w:val="00505A44"/>
    <w:rsid w:val="00506CA6"/>
    <w:rsid w:val="00507B51"/>
    <w:rsid w:val="005102E2"/>
    <w:rsid w:val="0051064D"/>
    <w:rsid w:val="00510D9F"/>
    <w:rsid w:val="00511E9E"/>
    <w:rsid w:val="0051241C"/>
    <w:rsid w:val="0051389E"/>
    <w:rsid w:val="00515F7B"/>
    <w:rsid w:val="00517390"/>
    <w:rsid w:val="00517F6F"/>
    <w:rsid w:val="00522BB6"/>
    <w:rsid w:val="00523924"/>
    <w:rsid w:val="00526C3C"/>
    <w:rsid w:val="00527065"/>
    <w:rsid w:val="00527DA1"/>
    <w:rsid w:val="00531102"/>
    <w:rsid w:val="00532436"/>
    <w:rsid w:val="00533100"/>
    <w:rsid w:val="00533CB8"/>
    <w:rsid w:val="00534012"/>
    <w:rsid w:val="005342C3"/>
    <w:rsid w:val="005358AC"/>
    <w:rsid w:val="0053643B"/>
    <w:rsid w:val="00536DAD"/>
    <w:rsid w:val="005372E0"/>
    <w:rsid w:val="0054128A"/>
    <w:rsid w:val="00542927"/>
    <w:rsid w:val="005433DB"/>
    <w:rsid w:val="005445C8"/>
    <w:rsid w:val="0054611A"/>
    <w:rsid w:val="0054793C"/>
    <w:rsid w:val="00551774"/>
    <w:rsid w:val="00553BAB"/>
    <w:rsid w:val="005543AB"/>
    <w:rsid w:val="005549F3"/>
    <w:rsid w:val="00555349"/>
    <w:rsid w:val="00555DC1"/>
    <w:rsid w:val="005561E1"/>
    <w:rsid w:val="00556BDE"/>
    <w:rsid w:val="005635C3"/>
    <w:rsid w:val="00564525"/>
    <w:rsid w:val="00564EE7"/>
    <w:rsid w:val="00565FE9"/>
    <w:rsid w:val="00566D5D"/>
    <w:rsid w:val="00567D39"/>
    <w:rsid w:val="00570321"/>
    <w:rsid w:val="00570857"/>
    <w:rsid w:val="00571853"/>
    <w:rsid w:val="0057324D"/>
    <w:rsid w:val="00573FC9"/>
    <w:rsid w:val="0057441F"/>
    <w:rsid w:val="0057475A"/>
    <w:rsid w:val="00577300"/>
    <w:rsid w:val="00581DA3"/>
    <w:rsid w:val="0058297B"/>
    <w:rsid w:val="00582B4E"/>
    <w:rsid w:val="00583369"/>
    <w:rsid w:val="00585AAF"/>
    <w:rsid w:val="00586E7B"/>
    <w:rsid w:val="00586F68"/>
    <w:rsid w:val="005870B3"/>
    <w:rsid w:val="0059269E"/>
    <w:rsid w:val="00592862"/>
    <w:rsid w:val="00592ADF"/>
    <w:rsid w:val="005961A5"/>
    <w:rsid w:val="00596B9B"/>
    <w:rsid w:val="005A07C6"/>
    <w:rsid w:val="005B1B8D"/>
    <w:rsid w:val="005B1F86"/>
    <w:rsid w:val="005B4C20"/>
    <w:rsid w:val="005B4F31"/>
    <w:rsid w:val="005B626E"/>
    <w:rsid w:val="005B7CF2"/>
    <w:rsid w:val="005C390C"/>
    <w:rsid w:val="005C4CC9"/>
    <w:rsid w:val="005D1F6A"/>
    <w:rsid w:val="005D4D73"/>
    <w:rsid w:val="005D5292"/>
    <w:rsid w:val="005D6678"/>
    <w:rsid w:val="005D7030"/>
    <w:rsid w:val="005D7BB9"/>
    <w:rsid w:val="005D7F12"/>
    <w:rsid w:val="005E038B"/>
    <w:rsid w:val="005E0F7B"/>
    <w:rsid w:val="005E2FE2"/>
    <w:rsid w:val="005E300C"/>
    <w:rsid w:val="005E43CC"/>
    <w:rsid w:val="005E4F31"/>
    <w:rsid w:val="005E60A8"/>
    <w:rsid w:val="005E7167"/>
    <w:rsid w:val="005F028E"/>
    <w:rsid w:val="005F2328"/>
    <w:rsid w:val="005F25F9"/>
    <w:rsid w:val="005F2AA7"/>
    <w:rsid w:val="005F321F"/>
    <w:rsid w:val="005F41BA"/>
    <w:rsid w:val="005F4CED"/>
    <w:rsid w:val="005F559D"/>
    <w:rsid w:val="005F5F8F"/>
    <w:rsid w:val="005F7FD9"/>
    <w:rsid w:val="00602EC1"/>
    <w:rsid w:val="00603066"/>
    <w:rsid w:val="0060398C"/>
    <w:rsid w:val="00605096"/>
    <w:rsid w:val="0060582B"/>
    <w:rsid w:val="00607251"/>
    <w:rsid w:val="0061029F"/>
    <w:rsid w:val="0061075E"/>
    <w:rsid w:val="00611380"/>
    <w:rsid w:val="006146D4"/>
    <w:rsid w:val="006154CB"/>
    <w:rsid w:val="00617D3C"/>
    <w:rsid w:val="00620CFE"/>
    <w:rsid w:val="006243B6"/>
    <w:rsid w:val="006318AE"/>
    <w:rsid w:val="00631C95"/>
    <w:rsid w:val="00633F42"/>
    <w:rsid w:val="00640ABC"/>
    <w:rsid w:val="00647062"/>
    <w:rsid w:val="00647275"/>
    <w:rsid w:val="0064759A"/>
    <w:rsid w:val="0065485E"/>
    <w:rsid w:val="00654E26"/>
    <w:rsid w:val="006561E9"/>
    <w:rsid w:val="00656D4D"/>
    <w:rsid w:val="00657050"/>
    <w:rsid w:val="0065741C"/>
    <w:rsid w:val="00660EF8"/>
    <w:rsid w:val="0066163C"/>
    <w:rsid w:val="006618F5"/>
    <w:rsid w:val="00663612"/>
    <w:rsid w:val="00666271"/>
    <w:rsid w:val="006662B3"/>
    <w:rsid w:val="00666CFD"/>
    <w:rsid w:val="00667352"/>
    <w:rsid w:val="00667F46"/>
    <w:rsid w:val="0067152F"/>
    <w:rsid w:val="0067289F"/>
    <w:rsid w:val="006731ED"/>
    <w:rsid w:val="006740ED"/>
    <w:rsid w:val="00674A49"/>
    <w:rsid w:val="00676445"/>
    <w:rsid w:val="0067661F"/>
    <w:rsid w:val="00676B22"/>
    <w:rsid w:val="00677409"/>
    <w:rsid w:val="00680D71"/>
    <w:rsid w:val="00681641"/>
    <w:rsid w:val="00682705"/>
    <w:rsid w:val="006852A2"/>
    <w:rsid w:val="00691580"/>
    <w:rsid w:val="00693487"/>
    <w:rsid w:val="00694AC0"/>
    <w:rsid w:val="00696293"/>
    <w:rsid w:val="0069695D"/>
    <w:rsid w:val="006A1809"/>
    <w:rsid w:val="006A19ED"/>
    <w:rsid w:val="006A2853"/>
    <w:rsid w:val="006A334E"/>
    <w:rsid w:val="006A468A"/>
    <w:rsid w:val="006A532D"/>
    <w:rsid w:val="006A77BE"/>
    <w:rsid w:val="006A7D1B"/>
    <w:rsid w:val="006B0631"/>
    <w:rsid w:val="006B1D6A"/>
    <w:rsid w:val="006B5C68"/>
    <w:rsid w:val="006B78F3"/>
    <w:rsid w:val="006C11C1"/>
    <w:rsid w:val="006C184C"/>
    <w:rsid w:val="006C2965"/>
    <w:rsid w:val="006C5994"/>
    <w:rsid w:val="006D4973"/>
    <w:rsid w:val="006D75E3"/>
    <w:rsid w:val="006D7A95"/>
    <w:rsid w:val="006D7F82"/>
    <w:rsid w:val="006E3BA6"/>
    <w:rsid w:val="006E5884"/>
    <w:rsid w:val="006E6531"/>
    <w:rsid w:val="006E65B7"/>
    <w:rsid w:val="006E66CB"/>
    <w:rsid w:val="006E726C"/>
    <w:rsid w:val="006F23F8"/>
    <w:rsid w:val="006F419C"/>
    <w:rsid w:val="006F486D"/>
    <w:rsid w:val="006F50AB"/>
    <w:rsid w:val="006F54FC"/>
    <w:rsid w:val="006F5CDB"/>
    <w:rsid w:val="006F6076"/>
    <w:rsid w:val="006F71D9"/>
    <w:rsid w:val="006F7423"/>
    <w:rsid w:val="006F791D"/>
    <w:rsid w:val="00700412"/>
    <w:rsid w:val="00701FA4"/>
    <w:rsid w:val="00702350"/>
    <w:rsid w:val="00704AC2"/>
    <w:rsid w:val="00705D52"/>
    <w:rsid w:val="00707D59"/>
    <w:rsid w:val="00710391"/>
    <w:rsid w:val="007106D8"/>
    <w:rsid w:val="00710873"/>
    <w:rsid w:val="0071102C"/>
    <w:rsid w:val="00712E4D"/>
    <w:rsid w:val="0071464C"/>
    <w:rsid w:val="00715F14"/>
    <w:rsid w:val="007176AD"/>
    <w:rsid w:val="007201C6"/>
    <w:rsid w:val="00720723"/>
    <w:rsid w:val="00722BA4"/>
    <w:rsid w:val="0072325C"/>
    <w:rsid w:val="00725BD0"/>
    <w:rsid w:val="00726E0C"/>
    <w:rsid w:val="00726E0F"/>
    <w:rsid w:val="007311B1"/>
    <w:rsid w:val="007318BB"/>
    <w:rsid w:val="007327E8"/>
    <w:rsid w:val="00736B35"/>
    <w:rsid w:val="0073707A"/>
    <w:rsid w:val="00737E43"/>
    <w:rsid w:val="00740AB8"/>
    <w:rsid w:val="00740CC8"/>
    <w:rsid w:val="00742093"/>
    <w:rsid w:val="00742234"/>
    <w:rsid w:val="00746CCB"/>
    <w:rsid w:val="00751875"/>
    <w:rsid w:val="0075241D"/>
    <w:rsid w:val="00754023"/>
    <w:rsid w:val="00754044"/>
    <w:rsid w:val="0075485C"/>
    <w:rsid w:val="0075506B"/>
    <w:rsid w:val="00756F36"/>
    <w:rsid w:val="0076158B"/>
    <w:rsid w:val="00761A70"/>
    <w:rsid w:val="00762351"/>
    <w:rsid w:val="00762F62"/>
    <w:rsid w:val="007656D3"/>
    <w:rsid w:val="00770243"/>
    <w:rsid w:val="00770A57"/>
    <w:rsid w:val="00771046"/>
    <w:rsid w:val="00771F51"/>
    <w:rsid w:val="0077434A"/>
    <w:rsid w:val="00777218"/>
    <w:rsid w:val="007813E5"/>
    <w:rsid w:val="00781895"/>
    <w:rsid w:val="007822E1"/>
    <w:rsid w:val="00782B1F"/>
    <w:rsid w:val="0078351A"/>
    <w:rsid w:val="00783E3F"/>
    <w:rsid w:val="00784CF0"/>
    <w:rsid w:val="0078504F"/>
    <w:rsid w:val="00785C9D"/>
    <w:rsid w:val="00786EDE"/>
    <w:rsid w:val="00790423"/>
    <w:rsid w:val="007922CC"/>
    <w:rsid w:val="00797D9A"/>
    <w:rsid w:val="007A315F"/>
    <w:rsid w:val="007A3FB7"/>
    <w:rsid w:val="007A4139"/>
    <w:rsid w:val="007A47AF"/>
    <w:rsid w:val="007A57EF"/>
    <w:rsid w:val="007A5E9B"/>
    <w:rsid w:val="007A7A25"/>
    <w:rsid w:val="007B2973"/>
    <w:rsid w:val="007B3AA9"/>
    <w:rsid w:val="007B55F3"/>
    <w:rsid w:val="007B5BCE"/>
    <w:rsid w:val="007B5C77"/>
    <w:rsid w:val="007B6DE9"/>
    <w:rsid w:val="007C0F4C"/>
    <w:rsid w:val="007C1B24"/>
    <w:rsid w:val="007C1FD8"/>
    <w:rsid w:val="007C2018"/>
    <w:rsid w:val="007C2379"/>
    <w:rsid w:val="007C4678"/>
    <w:rsid w:val="007C61A4"/>
    <w:rsid w:val="007D033F"/>
    <w:rsid w:val="007D0678"/>
    <w:rsid w:val="007D1D7F"/>
    <w:rsid w:val="007D2460"/>
    <w:rsid w:val="007D451E"/>
    <w:rsid w:val="007E0267"/>
    <w:rsid w:val="007E2B66"/>
    <w:rsid w:val="007E2E68"/>
    <w:rsid w:val="007E41AD"/>
    <w:rsid w:val="007E6341"/>
    <w:rsid w:val="007E6EEC"/>
    <w:rsid w:val="007E6EF4"/>
    <w:rsid w:val="007E749F"/>
    <w:rsid w:val="007E7992"/>
    <w:rsid w:val="007F06C3"/>
    <w:rsid w:val="007F1A4E"/>
    <w:rsid w:val="007F1BA8"/>
    <w:rsid w:val="007F578D"/>
    <w:rsid w:val="007F724D"/>
    <w:rsid w:val="008004AD"/>
    <w:rsid w:val="008020A2"/>
    <w:rsid w:val="00803E61"/>
    <w:rsid w:val="008060EC"/>
    <w:rsid w:val="00806CF3"/>
    <w:rsid w:val="00812B14"/>
    <w:rsid w:val="008130C2"/>
    <w:rsid w:val="00813274"/>
    <w:rsid w:val="00816CB7"/>
    <w:rsid w:val="00817E45"/>
    <w:rsid w:val="0082181C"/>
    <w:rsid w:val="00821AA7"/>
    <w:rsid w:val="0082280F"/>
    <w:rsid w:val="00823B31"/>
    <w:rsid w:val="008247E5"/>
    <w:rsid w:val="00826FEB"/>
    <w:rsid w:val="00827833"/>
    <w:rsid w:val="0083018C"/>
    <w:rsid w:val="00834452"/>
    <w:rsid w:val="00836128"/>
    <w:rsid w:val="008370F9"/>
    <w:rsid w:val="008408C2"/>
    <w:rsid w:val="008409D6"/>
    <w:rsid w:val="00840D10"/>
    <w:rsid w:val="00841AE0"/>
    <w:rsid w:val="00842094"/>
    <w:rsid w:val="00843DC3"/>
    <w:rsid w:val="00843F26"/>
    <w:rsid w:val="00844CA8"/>
    <w:rsid w:val="008451A6"/>
    <w:rsid w:val="008502C8"/>
    <w:rsid w:val="00850B2E"/>
    <w:rsid w:val="00850B99"/>
    <w:rsid w:val="008534C4"/>
    <w:rsid w:val="008536F3"/>
    <w:rsid w:val="00855247"/>
    <w:rsid w:val="00860585"/>
    <w:rsid w:val="0086101F"/>
    <w:rsid w:val="008634FB"/>
    <w:rsid w:val="00863F8D"/>
    <w:rsid w:val="0086400F"/>
    <w:rsid w:val="00866868"/>
    <w:rsid w:val="008674CC"/>
    <w:rsid w:val="00867595"/>
    <w:rsid w:val="008707AA"/>
    <w:rsid w:val="00870E80"/>
    <w:rsid w:val="00873469"/>
    <w:rsid w:val="00873B44"/>
    <w:rsid w:val="008747E6"/>
    <w:rsid w:val="008750F5"/>
    <w:rsid w:val="00875B4A"/>
    <w:rsid w:val="008826B1"/>
    <w:rsid w:val="00883AB4"/>
    <w:rsid w:val="0088440C"/>
    <w:rsid w:val="00884BDC"/>
    <w:rsid w:val="008936CC"/>
    <w:rsid w:val="008956F4"/>
    <w:rsid w:val="00895E12"/>
    <w:rsid w:val="00897229"/>
    <w:rsid w:val="008A07C5"/>
    <w:rsid w:val="008A096D"/>
    <w:rsid w:val="008A3662"/>
    <w:rsid w:val="008A3666"/>
    <w:rsid w:val="008B0026"/>
    <w:rsid w:val="008B08ED"/>
    <w:rsid w:val="008B31C0"/>
    <w:rsid w:val="008B3259"/>
    <w:rsid w:val="008B350B"/>
    <w:rsid w:val="008B61C5"/>
    <w:rsid w:val="008C0554"/>
    <w:rsid w:val="008C19D7"/>
    <w:rsid w:val="008C2731"/>
    <w:rsid w:val="008C4FD6"/>
    <w:rsid w:val="008C5357"/>
    <w:rsid w:val="008C681B"/>
    <w:rsid w:val="008C6DFE"/>
    <w:rsid w:val="008C7E20"/>
    <w:rsid w:val="008D0BD0"/>
    <w:rsid w:val="008D167D"/>
    <w:rsid w:val="008D29E6"/>
    <w:rsid w:val="008D3AF5"/>
    <w:rsid w:val="008D3C71"/>
    <w:rsid w:val="008D5BB4"/>
    <w:rsid w:val="008D6B35"/>
    <w:rsid w:val="008D6C4A"/>
    <w:rsid w:val="008D7B0F"/>
    <w:rsid w:val="008E5E7B"/>
    <w:rsid w:val="008E6074"/>
    <w:rsid w:val="008F3208"/>
    <w:rsid w:val="008F49F1"/>
    <w:rsid w:val="008F4C1B"/>
    <w:rsid w:val="008F69FF"/>
    <w:rsid w:val="00901861"/>
    <w:rsid w:val="00901DF6"/>
    <w:rsid w:val="009029A7"/>
    <w:rsid w:val="00903B2A"/>
    <w:rsid w:val="00905064"/>
    <w:rsid w:val="009062EF"/>
    <w:rsid w:val="009076DC"/>
    <w:rsid w:val="00910148"/>
    <w:rsid w:val="009117A5"/>
    <w:rsid w:val="009149A0"/>
    <w:rsid w:val="009206FC"/>
    <w:rsid w:val="0092103F"/>
    <w:rsid w:val="009216B8"/>
    <w:rsid w:val="009228D1"/>
    <w:rsid w:val="009228DC"/>
    <w:rsid w:val="00922C7C"/>
    <w:rsid w:val="00923F81"/>
    <w:rsid w:val="00925448"/>
    <w:rsid w:val="009254A6"/>
    <w:rsid w:val="00925C90"/>
    <w:rsid w:val="00926552"/>
    <w:rsid w:val="0092769D"/>
    <w:rsid w:val="009325AB"/>
    <w:rsid w:val="0093293E"/>
    <w:rsid w:val="009330A1"/>
    <w:rsid w:val="00934295"/>
    <w:rsid w:val="00934FB3"/>
    <w:rsid w:val="00937264"/>
    <w:rsid w:val="0093755D"/>
    <w:rsid w:val="00940328"/>
    <w:rsid w:val="00943857"/>
    <w:rsid w:val="00943E56"/>
    <w:rsid w:val="009444C1"/>
    <w:rsid w:val="00946EFA"/>
    <w:rsid w:val="0094740B"/>
    <w:rsid w:val="0095288D"/>
    <w:rsid w:val="009530F1"/>
    <w:rsid w:val="009538FE"/>
    <w:rsid w:val="00957327"/>
    <w:rsid w:val="009619BA"/>
    <w:rsid w:val="00961EBE"/>
    <w:rsid w:val="00962DF0"/>
    <w:rsid w:val="009649E5"/>
    <w:rsid w:val="00965D00"/>
    <w:rsid w:val="00966D6D"/>
    <w:rsid w:val="00970998"/>
    <w:rsid w:val="0097120C"/>
    <w:rsid w:val="0097193C"/>
    <w:rsid w:val="00972555"/>
    <w:rsid w:val="00972A1B"/>
    <w:rsid w:val="0097344D"/>
    <w:rsid w:val="00974B62"/>
    <w:rsid w:val="009773BE"/>
    <w:rsid w:val="009800E9"/>
    <w:rsid w:val="00980182"/>
    <w:rsid w:val="00981631"/>
    <w:rsid w:val="00987FF5"/>
    <w:rsid w:val="00994FB5"/>
    <w:rsid w:val="00995298"/>
    <w:rsid w:val="00995930"/>
    <w:rsid w:val="009965CB"/>
    <w:rsid w:val="009966DB"/>
    <w:rsid w:val="0099777E"/>
    <w:rsid w:val="00997848"/>
    <w:rsid w:val="009A0EAE"/>
    <w:rsid w:val="009A1327"/>
    <w:rsid w:val="009A1CCD"/>
    <w:rsid w:val="009A3A85"/>
    <w:rsid w:val="009A6C58"/>
    <w:rsid w:val="009B121E"/>
    <w:rsid w:val="009B2661"/>
    <w:rsid w:val="009B29DB"/>
    <w:rsid w:val="009B338C"/>
    <w:rsid w:val="009B359A"/>
    <w:rsid w:val="009B4481"/>
    <w:rsid w:val="009B57CE"/>
    <w:rsid w:val="009B6199"/>
    <w:rsid w:val="009C1EE2"/>
    <w:rsid w:val="009C2859"/>
    <w:rsid w:val="009C401D"/>
    <w:rsid w:val="009C57C5"/>
    <w:rsid w:val="009D1A99"/>
    <w:rsid w:val="009D1B78"/>
    <w:rsid w:val="009D2BFE"/>
    <w:rsid w:val="009D4367"/>
    <w:rsid w:val="009D58BE"/>
    <w:rsid w:val="009E0D56"/>
    <w:rsid w:val="009E1EC0"/>
    <w:rsid w:val="009E3FF3"/>
    <w:rsid w:val="009E6B17"/>
    <w:rsid w:val="009E7459"/>
    <w:rsid w:val="009E7C1A"/>
    <w:rsid w:val="009F0051"/>
    <w:rsid w:val="009F10FD"/>
    <w:rsid w:val="009F2635"/>
    <w:rsid w:val="009F2F3D"/>
    <w:rsid w:val="009F380A"/>
    <w:rsid w:val="009F4999"/>
    <w:rsid w:val="009F5A56"/>
    <w:rsid w:val="009F6AB6"/>
    <w:rsid w:val="009F6F5E"/>
    <w:rsid w:val="00A008E7"/>
    <w:rsid w:val="00A04D49"/>
    <w:rsid w:val="00A05648"/>
    <w:rsid w:val="00A06398"/>
    <w:rsid w:val="00A066A7"/>
    <w:rsid w:val="00A06A43"/>
    <w:rsid w:val="00A06BA3"/>
    <w:rsid w:val="00A0748D"/>
    <w:rsid w:val="00A1214D"/>
    <w:rsid w:val="00A15F4E"/>
    <w:rsid w:val="00A16E1A"/>
    <w:rsid w:val="00A17A50"/>
    <w:rsid w:val="00A209D1"/>
    <w:rsid w:val="00A213EE"/>
    <w:rsid w:val="00A21E8A"/>
    <w:rsid w:val="00A25D65"/>
    <w:rsid w:val="00A270FC"/>
    <w:rsid w:val="00A300C2"/>
    <w:rsid w:val="00A30746"/>
    <w:rsid w:val="00A32B08"/>
    <w:rsid w:val="00A34534"/>
    <w:rsid w:val="00A35154"/>
    <w:rsid w:val="00A36E04"/>
    <w:rsid w:val="00A37318"/>
    <w:rsid w:val="00A376DD"/>
    <w:rsid w:val="00A3796F"/>
    <w:rsid w:val="00A40257"/>
    <w:rsid w:val="00A4105A"/>
    <w:rsid w:val="00A42A3A"/>
    <w:rsid w:val="00A43FE8"/>
    <w:rsid w:val="00A44FF4"/>
    <w:rsid w:val="00A47E41"/>
    <w:rsid w:val="00A51B01"/>
    <w:rsid w:val="00A51FC4"/>
    <w:rsid w:val="00A52196"/>
    <w:rsid w:val="00A52594"/>
    <w:rsid w:val="00A53FA9"/>
    <w:rsid w:val="00A57676"/>
    <w:rsid w:val="00A601E3"/>
    <w:rsid w:val="00A60506"/>
    <w:rsid w:val="00A6143D"/>
    <w:rsid w:val="00A632A0"/>
    <w:rsid w:val="00A6477D"/>
    <w:rsid w:val="00A65FFB"/>
    <w:rsid w:val="00A66A78"/>
    <w:rsid w:val="00A675DE"/>
    <w:rsid w:val="00A7050D"/>
    <w:rsid w:val="00A71914"/>
    <w:rsid w:val="00A71EB6"/>
    <w:rsid w:val="00A71EE2"/>
    <w:rsid w:val="00A73309"/>
    <w:rsid w:val="00A74EB4"/>
    <w:rsid w:val="00A777E7"/>
    <w:rsid w:val="00A77CB8"/>
    <w:rsid w:val="00A815AD"/>
    <w:rsid w:val="00A82014"/>
    <w:rsid w:val="00A86955"/>
    <w:rsid w:val="00A875EE"/>
    <w:rsid w:val="00A87C81"/>
    <w:rsid w:val="00A908D8"/>
    <w:rsid w:val="00A91A26"/>
    <w:rsid w:val="00A91E0F"/>
    <w:rsid w:val="00A9280C"/>
    <w:rsid w:val="00A939C5"/>
    <w:rsid w:val="00A94663"/>
    <w:rsid w:val="00A95354"/>
    <w:rsid w:val="00A96AF0"/>
    <w:rsid w:val="00A970F8"/>
    <w:rsid w:val="00A9776D"/>
    <w:rsid w:val="00AA018D"/>
    <w:rsid w:val="00AA03D8"/>
    <w:rsid w:val="00AA1315"/>
    <w:rsid w:val="00AA56EB"/>
    <w:rsid w:val="00AA7E68"/>
    <w:rsid w:val="00AB0ED9"/>
    <w:rsid w:val="00AB209D"/>
    <w:rsid w:val="00AB24FE"/>
    <w:rsid w:val="00AB3C31"/>
    <w:rsid w:val="00AB3DC3"/>
    <w:rsid w:val="00AB41B8"/>
    <w:rsid w:val="00AB4C1B"/>
    <w:rsid w:val="00AB6EFA"/>
    <w:rsid w:val="00AB734A"/>
    <w:rsid w:val="00AB7477"/>
    <w:rsid w:val="00AB794A"/>
    <w:rsid w:val="00AC05BB"/>
    <w:rsid w:val="00AD0303"/>
    <w:rsid w:val="00AD4A3C"/>
    <w:rsid w:val="00AD6260"/>
    <w:rsid w:val="00AD6C03"/>
    <w:rsid w:val="00AD738B"/>
    <w:rsid w:val="00AE08A1"/>
    <w:rsid w:val="00AE1E6A"/>
    <w:rsid w:val="00AE2570"/>
    <w:rsid w:val="00AE29E3"/>
    <w:rsid w:val="00AE5236"/>
    <w:rsid w:val="00AE52F1"/>
    <w:rsid w:val="00AE5A25"/>
    <w:rsid w:val="00AE607A"/>
    <w:rsid w:val="00AE73EE"/>
    <w:rsid w:val="00AE77AB"/>
    <w:rsid w:val="00AE7990"/>
    <w:rsid w:val="00AF19F7"/>
    <w:rsid w:val="00AF1AFF"/>
    <w:rsid w:val="00AF22F5"/>
    <w:rsid w:val="00AF2E30"/>
    <w:rsid w:val="00AF67BE"/>
    <w:rsid w:val="00B04CFC"/>
    <w:rsid w:val="00B07556"/>
    <w:rsid w:val="00B111AD"/>
    <w:rsid w:val="00B11251"/>
    <w:rsid w:val="00B11C5A"/>
    <w:rsid w:val="00B12BDF"/>
    <w:rsid w:val="00B135ED"/>
    <w:rsid w:val="00B157C3"/>
    <w:rsid w:val="00B15B16"/>
    <w:rsid w:val="00B15C11"/>
    <w:rsid w:val="00B1791F"/>
    <w:rsid w:val="00B202B1"/>
    <w:rsid w:val="00B20A7A"/>
    <w:rsid w:val="00B21590"/>
    <w:rsid w:val="00B22452"/>
    <w:rsid w:val="00B233E9"/>
    <w:rsid w:val="00B24C7C"/>
    <w:rsid w:val="00B24C8F"/>
    <w:rsid w:val="00B25CC1"/>
    <w:rsid w:val="00B26EAC"/>
    <w:rsid w:val="00B369B0"/>
    <w:rsid w:val="00B407A9"/>
    <w:rsid w:val="00B410A8"/>
    <w:rsid w:val="00B4112E"/>
    <w:rsid w:val="00B41A76"/>
    <w:rsid w:val="00B435A2"/>
    <w:rsid w:val="00B43FA1"/>
    <w:rsid w:val="00B4568E"/>
    <w:rsid w:val="00B468AB"/>
    <w:rsid w:val="00B46CE4"/>
    <w:rsid w:val="00B515B9"/>
    <w:rsid w:val="00B51638"/>
    <w:rsid w:val="00B51F8E"/>
    <w:rsid w:val="00B52F0C"/>
    <w:rsid w:val="00B5358C"/>
    <w:rsid w:val="00B5372A"/>
    <w:rsid w:val="00B53BAA"/>
    <w:rsid w:val="00B53BF3"/>
    <w:rsid w:val="00B57FAC"/>
    <w:rsid w:val="00B62680"/>
    <w:rsid w:val="00B63CC1"/>
    <w:rsid w:val="00B66131"/>
    <w:rsid w:val="00B67027"/>
    <w:rsid w:val="00B7337E"/>
    <w:rsid w:val="00B73494"/>
    <w:rsid w:val="00B7437B"/>
    <w:rsid w:val="00B74665"/>
    <w:rsid w:val="00B77B93"/>
    <w:rsid w:val="00B77FAA"/>
    <w:rsid w:val="00B802EB"/>
    <w:rsid w:val="00B81D68"/>
    <w:rsid w:val="00B8307F"/>
    <w:rsid w:val="00B8400E"/>
    <w:rsid w:val="00B84824"/>
    <w:rsid w:val="00B853A8"/>
    <w:rsid w:val="00B85CE7"/>
    <w:rsid w:val="00B8739A"/>
    <w:rsid w:val="00B87AC8"/>
    <w:rsid w:val="00B918B6"/>
    <w:rsid w:val="00B91EC5"/>
    <w:rsid w:val="00B9524C"/>
    <w:rsid w:val="00BA0976"/>
    <w:rsid w:val="00BA0F6F"/>
    <w:rsid w:val="00BA1DB8"/>
    <w:rsid w:val="00BA3950"/>
    <w:rsid w:val="00BA3AA1"/>
    <w:rsid w:val="00BA4160"/>
    <w:rsid w:val="00BA4B5F"/>
    <w:rsid w:val="00BA619F"/>
    <w:rsid w:val="00BA6383"/>
    <w:rsid w:val="00BA79B7"/>
    <w:rsid w:val="00BB00DE"/>
    <w:rsid w:val="00BB0D37"/>
    <w:rsid w:val="00BB0F0B"/>
    <w:rsid w:val="00BB1007"/>
    <w:rsid w:val="00BB1C35"/>
    <w:rsid w:val="00BB21AD"/>
    <w:rsid w:val="00BB60F9"/>
    <w:rsid w:val="00BB745E"/>
    <w:rsid w:val="00BC1D5D"/>
    <w:rsid w:val="00BC21C1"/>
    <w:rsid w:val="00BC2E52"/>
    <w:rsid w:val="00BC3D21"/>
    <w:rsid w:val="00BC51C0"/>
    <w:rsid w:val="00BC553A"/>
    <w:rsid w:val="00BC629A"/>
    <w:rsid w:val="00BC6F2A"/>
    <w:rsid w:val="00BC784F"/>
    <w:rsid w:val="00BD06C8"/>
    <w:rsid w:val="00BD1DDD"/>
    <w:rsid w:val="00BD37A5"/>
    <w:rsid w:val="00BD55E8"/>
    <w:rsid w:val="00BD56C0"/>
    <w:rsid w:val="00BD5D9F"/>
    <w:rsid w:val="00BD67BD"/>
    <w:rsid w:val="00BD6F8A"/>
    <w:rsid w:val="00BD70F7"/>
    <w:rsid w:val="00BD71D2"/>
    <w:rsid w:val="00BE0A81"/>
    <w:rsid w:val="00BE0EE9"/>
    <w:rsid w:val="00BE0F98"/>
    <w:rsid w:val="00BE1C04"/>
    <w:rsid w:val="00BE270F"/>
    <w:rsid w:val="00BE2952"/>
    <w:rsid w:val="00BE6EB6"/>
    <w:rsid w:val="00BE7F51"/>
    <w:rsid w:val="00BF1505"/>
    <w:rsid w:val="00BF213C"/>
    <w:rsid w:val="00BF2681"/>
    <w:rsid w:val="00BF2A3F"/>
    <w:rsid w:val="00BF2A5F"/>
    <w:rsid w:val="00BF3A0B"/>
    <w:rsid w:val="00BF46E4"/>
    <w:rsid w:val="00BF4E53"/>
    <w:rsid w:val="00BF6AF4"/>
    <w:rsid w:val="00C01913"/>
    <w:rsid w:val="00C02B80"/>
    <w:rsid w:val="00C0585A"/>
    <w:rsid w:val="00C05B26"/>
    <w:rsid w:val="00C1000D"/>
    <w:rsid w:val="00C10F7E"/>
    <w:rsid w:val="00C11FA0"/>
    <w:rsid w:val="00C12CED"/>
    <w:rsid w:val="00C12E34"/>
    <w:rsid w:val="00C1355F"/>
    <w:rsid w:val="00C149F2"/>
    <w:rsid w:val="00C15117"/>
    <w:rsid w:val="00C210F4"/>
    <w:rsid w:val="00C22FBD"/>
    <w:rsid w:val="00C2475E"/>
    <w:rsid w:val="00C25DAB"/>
    <w:rsid w:val="00C25E03"/>
    <w:rsid w:val="00C266D6"/>
    <w:rsid w:val="00C26806"/>
    <w:rsid w:val="00C3063C"/>
    <w:rsid w:val="00C337D7"/>
    <w:rsid w:val="00C338A4"/>
    <w:rsid w:val="00C3537E"/>
    <w:rsid w:val="00C35DD4"/>
    <w:rsid w:val="00C37D9E"/>
    <w:rsid w:val="00C4099D"/>
    <w:rsid w:val="00C411D0"/>
    <w:rsid w:val="00C44465"/>
    <w:rsid w:val="00C4463A"/>
    <w:rsid w:val="00C51753"/>
    <w:rsid w:val="00C52351"/>
    <w:rsid w:val="00C5387A"/>
    <w:rsid w:val="00C53B0F"/>
    <w:rsid w:val="00C53C36"/>
    <w:rsid w:val="00C570E8"/>
    <w:rsid w:val="00C60FE2"/>
    <w:rsid w:val="00C6175D"/>
    <w:rsid w:val="00C62EC6"/>
    <w:rsid w:val="00C63EDE"/>
    <w:rsid w:val="00C6654D"/>
    <w:rsid w:val="00C677EA"/>
    <w:rsid w:val="00C70B8B"/>
    <w:rsid w:val="00C75855"/>
    <w:rsid w:val="00C770BB"/>
    <w:rsid w:val="00C77C63"/>
    <w:rsid w:val="00C77E3F"/>
    <w:rsid w:val="00C80A92"/>
    <w:rsid w:val="00C819DB"/>
    <w:rsid w:val="00C81FC6"/>
    <w:rsid w:val="00C85178"/>
    <w:rsid w:val="00C877D8"/>
    <w:rsid w:val="00C91481"/>
    <w:rsid w:val="00C92ED9"/>
    <w:rsid w:val="00C95C3A"/>
    <w:rsid w:val="00C97CD0"/>
    <w:rsid w:val="00CA1532"/>
    <w:rsid w:val="00CA38C7"/>
    <w:rsid w:val="00CA3DF2"/>
    <w:rsid w:val="00CA5373"/>
    <w:rsid w:val="00CA609C"/>
    <w:rsid w:val="00CB25FA"/>
    <w:rsid w:val="00CB43B7"/>
    <w:rsid w:val="00CB4A83"/>
    <w:rsid w:val="00CB594F"/>
    <w:rsid w:val="00CB5972"/>
    <w:rsid w:val="00CB796C"/>
    <w:rsid w:val="00CC34F4"/>
    <w:rsid w:val="00CC3761"/>
    <w:rsid w:val="00CC53C6"/>
    <w:rsid w:val="00CD0AB2"/>
    <w:rsid w:val="00CD1F0A"/>
    <w:rsid w:val="00CD224D"/>
    <w:rsid w:val="00CD4CED"/>
    <w:rsid w:val="00CD7BCC"/>
    <w:rsid w:val="00CD7CF2"/>
    <w:rsid w:val="00CD7E27"/>
    <w:rsid w:val="00CE0D29"/>
    <w:rsid w:val="00CE0E5C"/>
    <w:rsid w:val="00CE12DF"/>
    <w:rsid w:val="00CE16DC"/>
    <w:rsid w:val="00CE2CD9"/>
    <w:rsid w:val="00CF1510"/>
    <w:rsid w:val="00CF19C8"/>
    <w:rsid w:val="00CF3578"/>
    <w:rsid w:val="00CF4821"/>
    <w:rsid w:val="00CF5C4F"/>
    <w:rsid w:val="00CF77D9"/>
    <w:rsid w:val="00D017BB"/>
    <w:rsid w:val="00D0195B"/>
    <w:rsid w:val="00D031A4"/>
    <w:rsid w:val="00D03427"/>
    <w:rsid w:val="00D05F42"/>
    <w:rsid w:val="00D10121"/>
    <w:rsid w:val="00D13CD5"/>
    <w:rsid w:val="00D13F46"/>
    <w:rsid w:val="00D171CA"/>
    <w:rsid w:val="00D2206A"/>
    <w:rsid w:val="00D2247E"/>
    <w:rsid w:val="00D23388"/>
    <w:rsid w:val="00D241A3"/>
    <w:rsid w:val="00D248A6"/>
    <w:rsid w:val="00D26C17"/>
    <w:rsid w:val="00D305E2"/>
    <w:rsid w:val="00D34B8A"/>
    <w:rsid w:val="00D35D94"/>
    <w:rsid w:val="00D4256E"/>
    <w:rsid w:val="00D440B7"/>
    <w:rsid w:val="00D4445C"/>
    <w:rsid w:val="00D465BE"/>
    <w:rsid w:val="00D478AC"/>
    <w:rsid w:val="00D5098C"/>
    <w:rsid w:val="00D50FBF"/>
    <w:rsid w:val="00D512A1"/>
    <w:rsid w:val="00D51827"/>
    <w:rsid w:val="00D51888"/>
    <w:rsid w:val="00D534FE"/>
    <w:rsid w:val="00D53784"/>
    <w:rsid w:val="00D571AE"/>
    <w:rsid w:val="00D57DCC"/>
    <w:rsid w:val="00D61B33"/>
    <w:rsid w:val="00D6443D"/>
    <w:rsid w:val="00D65993"/>
    <w:rsid w:val="00D717E7"/>
    <w:rsid w:val="00D71E58"/>
    <w:rsid w:val="00D7259A"/>
    <w:rsid w:val="00D72F6E"/>
    <w:rsid w:val="00D730BD"/>
    <w:rsid w:val="00D73190"/>
    <w:rsid w:val="00D732AE"/>
    <w:rsid w:val="00D734C6"/>
    <w:rsid w:val="00D75559"/>
    <w:rsid w:val="00D7750C"/>
    <w:rsid w:val="00D77642"/>
    <w:rsid w:val="00D77EDC"/>
    <w:rsid w:val="00D80746"/>
    <w:rsid w:val="00D817A2"/>
    <w:rsid w:val="00D82A17"/>
    <w:rsid w:val="00D82D9A"/>
    <w:rsid w:val="00D82DD0"/>
    <w:rsid w:val="00D86FE4"/>
    <w:rsid w:val="00D90795"/>
    <w:rsid w:val="00D92D7E"/>
    <w:rsid w:val="00D93801"/>
    <w:rsid w:val="00D94F82"/>
    <w:rsid w:val="00D9579B"/>
    <w:rsid w:val="00DA05EF"/>
    <w:rsid w:val="00DA27AB"/>
    <w:rsid w:val="00DA405A"/>
    <w:rsid w:val="00DA563C"/>
    <w:rsid w:val="00DA6866"/>
    <w:rsid w:val="00DA693B"/>
    <w:rsid w:val="00DA6CF2"/>
    <w:rsid w:val="00DB146A"/>
    <w:rsid w:val="00DB225F"/>
    <w:rsid w:val="00DB27FC"/>
    <w:rsid w:val="00DB3729"/>
    <w:rsid w:val="00DB51D4"/>
    <w:rsid w:val="00DB55A9"/>
    <w:rsid w:val="00DB6DBB"/>
    <w:rsid w:val="00DB7AD5"/>
    <w:rsid w:val="00DC0A36"/>
    <w:rsid w:val="00DC2C86"/>
    <w:rsid w:val="00DC6B20"/>
    <w:rsid w:val="00DC7401"/>
    <w:rsid w:val="00DD14C2"/>
    <w:rsid w:val="00DD16A0"/>
    <w:rsid w:val="00DD1E00"/>
    <w:rsid w:val="00DD3215"/>
    <w:rsid w:val="00DD3717"/>
    <w:rsid w:val="00DD44C0"/>
    <w:rsid w:val="00DD4DAD"/>
    <w:rsid w:val="00DD5661"/>
    <w:rsid w:val="00DD62F8"/>
    <w:rsid w:val="00DD707C"/>
    <w:rsid w:val="00DE0593"/>
    <w:rsid w:val="00DE27BE"/>
    <w:rsid w:val="00DE2D2D"/>
    <w:rsid w:val="00DE5952"/>
    <w:rsid w:val="00DE7263"/>
    <w:rsid w:val="00DE7A2A"/>
    <w:rsid w:val="00DF02F2"/>
    <w:rsid w:val="00DF0C53"/>
    <w:rsid w:val="00DF3F83"/>
    <w:rsid w:val="00DF61A1"/>
    <w:rsid w:val="00DF6BFC"/>
    <w:rsid w:val="00E022D5"/>
    <w:rsid w:val="00E03D05"/>
    <w:rsid w:val="00E045F7"/>
    <w:rsid w:val="00E05786"/>
    <w:rsid w:val="00E10229"/>
    <w:rsid w:val="00E10B94"/>
    <w:rsid w:val="00E12054"/>
    <w:rsid w:val="00E15164"/>
    <w:rsid w:val="00E15DD8"/>
    <w:rsid w:val="00E20B39"/>
    <w:rsid w:val="00E21C9D"/>
    <w:rsid w:val="00E21D75"/>
    <w:rsid w:val="00E22472"/>
    <w:rsid w:val="00E23245"/>
    <w:rsid w:val="00E23A9F"/>
    <w:rsid w:val="00E23FD6"/>
    <w:rsid w:val="00E2462F"/>
    <w:rsid w:val="00E250DF"/>
    <w:rsid w:val="00E279CF"/>
    <w:rsid w:val="00E30A4A"/>
    <w:rsid w:val="00E33A06"/>
    <w:rsid w:val="00E407CA"/>
    <w:rsid w:val="00E40B28"/>
    <w:rsid w:val="00E433B5"/>
    <w:rsid w:val="00E438BE"/>
    <w:rsid w:val="00E4536D"/>
    <w:rsid w:val="00E50B54"/>
    <w:rsid w:val="00E51231"/>
    <w:rsid w:val="00E5131F"/>
    <w:rsid w:val="00E519C8"/>
    <w:rsid w:val="00E51AC2"/>
    <w:rsid w:val="00E529C9"/>
    <w:rsid w:val="00E537EF"/>
    <w:rsid w:val="00E53BB9"/>
    <w:rsid w:val="00E54590"/>
    <w:rsid w:val="00E563F1"/>
    <w:rsid w:val="00E5678E"/>
    <w:rsid w:val="00E56812"/>
    <w:rsid w:val="00E57F43"/>
    <w:rsid w:val="00E603A8"/>
    <w:rsid w:val="00E60B9B"/>
    <w:rsid w:val="00E61B34"/>
    <w:rsid w:val="00E63CF2"/>
    <w:rsid w:val="00E640F6"/>
    <w:rsid w:val="00E64387"/>
    <w:rsid w:val="00E65B5C"/>
    <w:rsid w:val="00E66628"/>
    <w:rsid w:val="00E66AA1"/>
    <w:rsid w:val="00E676B5"/>
    <w:rsid w:val="00E67A8C"/>
    <w:rsid w:val="00E70567"/>
    <w:rsid w:val="00E71D0A"/>
    <w:rsid w:val="00E72D29"/>
    <w:rsid w:val="00E740AB"/>
    <w:rsid w:val="00E76078"/>
    <w:rsid w:val="00E7624C"/>
    <w:rsid w:val="00E77AC5"/>
    <w:rsid w:val="00E8119B"/>
    <w:rsid w:val="00E818FF"/>
    <w:rsid w:val="00E82184"/>
    <w:rsid w:val="00E84F4E"/>
    <w:rsid w:val="00E8530D"/>
    <w:rsid w:val="00E86B16"/>
    <w:rsid w:val="00E9160A"/>
    <w:rsid w:val="00E91FB9"/>
    <w:rsid w:val="00E92FF1"/>
    <w:rsid w:val="00E9407E"/>
    <w:rsid w:val="00EA104B"/>
    <w:rsid w:val="00EA2D6E"/>
    <w:rsid w:val="00EA33FC"/>
    <w:rsid w:val="00EA7314"/>
    <w:rsid w:val="00EB0A82"/>
    <w:rsid w:val="00EB1CAB"/>
    <w:rsid w:val="00EB309E"/>
    <w:rsid w:val="00EB4608"/>
    <w:rsid w:val="00EB49C7"/>
    <w:rsid w:val="00EB5079"/>
    <w:rsid w:val="00EB5359"/>
    <w:rsid w:val="00EC346F"/>
    <w:rsid w:val="00EC3E35"/>
    <w:rsid w:val="00EC507C"/>
    <w:rsid w:val="00EC584E"/>
    <w:rsid w:val="00EC5CDC"/>
    <w:rsid w:val="00EC61CB"/>
    <w:rsid w:val="00EC6E0D"/>
    <w:rsid w:val="00EE0332"/>
    <w:rsid w:val="00EE0424"/>
    <w:rsid w:val="00EE24AC"/>
    <w:rsid w:val="00EE4D08"/>
    <w:rsid w:val="00EE6F1B"/>
    <w:rsid w:val="00EE746B"/>
    <w:rsid w:val="00EF1A91"/>
    <w:rsid w:val="00EF4FE4"/>
    <w:rsid w:val="00EF6340"/>
    <w:rsid w:val="00EF6366"/>
    <w:rsid w:val="00EF6FF3"/>
    <w:rsid w:val="00EF74AE"/>
    <w:rsid w:val="00EF7E94"/>
    <w:rsid w:val="00F01F0E"/>
    <w:rsid w:val="00F04A1F"/>
    <w:rsid w:val="00F05977"/>
    <w:rsid w:val="00F10D61"/>
    <w:rsid w:val="00F114D9"/>
    <w:rsid w:val="00F158F4"/>
    <w:rsid w:val="00F167B3"/>
    <w:rsid w:val="00F17615"/>
    <w:rsid w:val="00F21015"/>
    <w:rsid w:val="00F24AF3"/>
    <w:rsid w:val="00F2671B"/>
    <w:rsid w:val="00F3040F"/>
    <w:rsid w:val="00F33FEA"/>
    <w:rsid w:val="00F34456"/>
    <w:rsid w:val="00F348AF"/>
    <w:rsid w:val="00F36400"/>
    <w:rsid w:val="00F36AE4"/>
    <w:rsid w:val="00F371C5"/>
    <w:rsid w:val="00F371E4"/>
    <w:rsid w:val="00F37481"/>
    <w:rsid w:val="00F40326"/>
    <w:rsid w:val="00F40B9A"/>
    <w:rsid w:val="00F44AC7"/>
    <w:rsid w:val="00F50A95"/>
    <w:rsid w:val="00F510BB"/>
    <w:rsid w:val="00F51AC0"/>
    <w:rsid w:val="00F51D81"/>
    <w:rsid w:val="00F52873"/>
    <w:rsid w:val="00F53421"/>
    <w:rsid w:val="00F5405E"/>
    <w:rsid w:val="00F56F41"/>
    <w:rsid w:val="00F57747"/>
    <w:rsid w:val="00F61882"/>
    <w:rsid w:val="00F63B82"/>
    <w:rsid w:val="00F6555A"/>
    <w:rsid w:val="00F6604D"/>
    <w:rsid w:val="00F664A9"/>
    <w:rsid w:val="00F66647"/>
    <w:rsid w:val="00F668D5"/>
    <w:rsid w:val="00F70A2C"/>
    <w:rsid w:val="00F73741"/>
    <w:rsid w:val="00F74160"/>
    <w:rsid w:val="00F76305"/>
    <w:rsid w:val="00F8075E"/>
    <w:rsid w:val="00F81B3A"/>
    <w:rsid w:val="00F81C6D"/>
    <w:rsid w:val="00F84454"/>
    <w:rsid w:val="00F84937"/>
    <w:rsid w:val="00F855D4"/>
    <w:rsid w:val="00F873BF"/>
    <w:rsid w:val="00F87824"/>
    <w:rsid w:val="00F90A29"/>
    <w:rsid w:val="00F90B5D"/>
    <w:rsid w:val="00F90CF3"/>
    <w:rsid w:val="00F90D31"/>
    <w:rsid w:val="00F915A6"/>
    <w:rsid w:val="00F93740"/>
    <w:rsid w:val="00F959BA"/>
    <w:rsid w:val="00F95BE9"/>
    <w:rsid w:val="00FA25F7"/>
    <w:rsid w:val="00FA5187"/>
    <w:rsid w:val="00FA5578"/>
    <w:rsid w:val="00FA74A1"/>
    <w:rsid w:val="00FB1AD3"/>
    <w:rsid w:val="00FB3D8F"/>
    <w:rsid w:val="00FB492E"/>
    <w:rsid w:val="00FB500F"/>
    <w:rsid w:val="00FB54DF"/>
    <w:rsid w:val="00FB5BAE"/>
    <w:rsid w:val="00FB5D70"/>
    <w:rsid w:val="00FB67B3"/>
    <w:rsid w:val="00FB7605"/>
    <w:rsid w:val="00FB77A9"/>
    <w:rsid w:val="00FC08ED"/>
    <w:rsid w:val="00FC1F6C"/>
    <w:rsid w:val="00FC23A4"/>
    <w:rsid w:val="00FC4DFE"/>
    <w:rsid w:val="00FC52A1"/>
    <w:rsid w:val="00FC6D4C"/>
    <w:rsid w:val="00FD136A"/>
    <w:rsid w:val="00FD160C"/>
    <w:rsid w:val="00FD38D0"/>
    <w:rsid w:val="00FD551E"/>
    <w:rsid w:val="00FD5841"/>
    <w:rsid w:val="00FD5C70"/>
    <w:rsid w:val="00FD7C48"/>
    <w:rsid w:val="00FE08F1"/>
    <w:rsid w:val="00FE3BCB"/>
    <w:rsid w:val="00FE3EBB"/>
    <w:rsid w:val="00FE5EC8"/>
    <w:rsid w:val="00FE6E5F"/>
    <w:rsid w:val="00FF1251"/>
    <w:rsid w:val="00FF1F3B"/>
    <w:rsid w:val="00FF32A3"/>
    <w:rsid w:val="00FF56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C6B5FAF-FB72-41FE-B63E-ED353959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F22F5"/>
    <w:pPr>
      <w:spacing w:before="120" w:after="120"/>
      <w:ind w:left="142"/>
      <w:jc w:val="both"/>
    </w:pPr>
    <w:rPr>
      <w:rFonts w:ascii="Arial" w:hAnsi="Arial" w:cs="Arial"/>
      <w:sz w:val="22"/>
    </w:rPr>
  </w:style>
  <w:style w:type="paragraph" w:styleId="Heading1">
    <w:name w:val="heading 1"/>
    <w:aliases w:val="Titre1 av num,(Titre),Niveau 1,Heading 1 CFMU,Chapitres,Partie"/>
    <w:basedOn w:val="Normal"/>
    <w:next w:val="Normal"/>
    <w:autoRedefine/>
    <w:qFormat/>
    <w:rsid w:val="00350463"/>
    <w:pPr>
      <w:keepNext/>
      <w:pageBreakBefore/>
      <w:numPr>
        <w:numId w:val="1"/>
      </w:numPr>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qFormat/>
    <w:rsid w:val="0065741C"/>
    <w:pPr>
      <w:keepNext/>
      <w:numPr>
        <w:ilvl w:val="1"/>
        <w:numId w:val="1"/>
      </w:numPr>
      <w:spacing w:before="60" w:after="240"/>
      <w:outlineLvl w:val="1"/>
    </w:pPr>
    <w:rPr>
      <w:rFonts w:ascii="Verdana" w:hAnsi="Verdana" w:cs="Times New Roman"/>
      <w:b/>
      <w:bCs/>
      <w:i/>
      <w:iCs/>
      <w:sz w:val="26"/>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autoRedefine/>
    <w:qFormat/>
    <w:rsid w:val="00005D16"/>
    <w:pPr>
      <w:keepNext/>
      <w:numPr>
        <w:ilvl w:val="2"/>
        <w:numId w:val="1"/>
      </w:numPr>
      <w:tabs>
        <w:tab w:val="left" w:pos="851"/>
      </w:tabs>
      <w:autoSpaceDE w:val="0"/>
      <w:autoSpaceDN w:val="0"/>
      <w:adjustRightInd w:val="0"/>
      <w:spacing w:after="160"/>
      <w:outlineLvl w:val="2"/>
    </w:pPr>
    <w:rPr>
      <w:bCs/>
      <w:sz w:val="26"/>
      <w:szCs w:val="26"/>
      <w:u w:val="single"/>
    </w:rPr>
  </w:style>
  <w:style w:type="paragraph" w:styleId="Heading4">
    <w:name w:val="heading 4"/>
    <w:aliases w:val="Titre 4 av num,Niveau 1.1.1,Module"/>
    <w:basedOn w:val="Normal"/>
    <w:next w:val="Normal"/>
    <w:autoRedefine/>
    <w:qFormat/>
    <w:rsid w:val="00657050"/>
    <w:pPr>
      <w:numPr>
        <w:ilvl w:val="3"/>
        <w:numId w:val="1"/>
      </w:numPr>
      <w:tabs>
        <w:tab w:val="clear" w:pos="864"/>
        <w:tab w:val="left" w:pos="2340"/>
      </w:tabs>
      <w:overflowPunct w:val="0"/>
      <w:autoSpaceDE w:val="0"/>
      <w:autoSpaceDN w:val="0"/>
      <w:adjustRightInd w:val="0"/>
      <w:ind w:left="0" w:firstLine="1418"/>
      <w:textAlignment w:val="baseline"/>
      <w:outlineLvl w:val="3"/>
    </w:pPr>
    <w:rPr>
      <w:rFonts w:ascii="Calibri" w:hAnsi="Calibri"/>
      <w:bCs/>
      <w:i/>
      <w:noProof/>
      <w:sz w:val="24"/>
    </w:rPr>
  </w:style>
  <w:style w:type="paragraph" w:styleId="Heading5">
    <w:name w:val="heading 5"/>
    <w:basedOn w:val="Normal"/>
    <w:next w:val="Normal"/>
    <w:link w:val="Heading5Char"/>
    <w:uiPriority w:val="9"/>
    <w:unhideWhenUsed/>
    <w:qFormat/>
    <w:rsid w:val="00E05786"/>
    <w:pPr>
      <w:keepNext/>
      <w:keepLines/>
      <w:spacing w:before="200" w:after="0" w:line="276" w:lineRule="auto"/>
      <w:ind w:left="0"/>
      <w:jc w:val="left"/>
      <w:outlineLvl w:val="4"/>
    </w:pPr>
    <w:rPr>
      <w:rFonts w:asciiTheme="majorHAnsi" w:eastAsiaTheme="majorEastAsia" w:hAnsiTheme="majorHAnsi" w:cstheme="majorBidi"/>
      <w:color w:val="1F4D78" w:themeColor="accent1" w:themeShade="7F"/>
      <w:szCs w:val="22"/>
      <w:lang w:eastAsia="en-US"/>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D57DCC"/>
    <w:pPr>
      <w:numPr>
        <w:numId w:val="0"/>
      </w:numPr>
      <w:ind w:right="-1701"/>
    </w:pPr>
  </w:style>
  <w:style w:type="paragraph" w:styleId="TOC1">
    <w:name w:val="toc 1"/>
    <w:basedOn w:val="Normal"/>
    <w:next w:val="Normal"/>
    <w:autoRedefine/>
    <w:uiPriority w:val="39"/>
    <w:rsid w:val="00063FDA"/>
    <w:pPr>
      <w:tabs>
        <w:tab w:val="left" w:pos="426"/>
        <w:tab w:val="right" w:leader="underscore" w:pos="9628"/>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rsid w:val="00BC553A"/>
    <w:pPr>
      <w:tabs>
        <w:tab w:val="center" w:pos="4536"/>
        <w:tab w:val="right" w:pos="9072"/>
      </w:tabs>
    </w:pPr>
  </w:style>
  <w:style w:type="paragraph" w:styleId="TOC2">
    <w:name w:val="toc 2"/>
    <w:basedOn w:val="Normal"/>
    <w:next w:val="Normal"/>
    <w:autoRedefine/>
    <w:uiPriority w:val="39"/>
    <w:rsid w:val="00E537EF"/>
    <w:pPr>
      <w:tabs>
        <w:tab w:val="left" w:pos="960"/>
        <w:tab w:val="right" w:leader="underscore" w:pos="9628"/>
      </w:tabs>
      <w:spacing w:before="80"/>
      <w:ind w:left="221" w:firstLine="346"/>
    </w:pPr>
  </w:style>
  <w:style w:type="paragraph" w:styleId="TOC3">
    <w:name w:val="toc 3"/>
    <w:basedOn w:val="Normal"/>
    <w:next w:val="Normal"/>
    <w:autoRedefine/>
    <w:uiPriority w:val="39"/>
    <w:rsid w:val="00E537EF"/>
    <w:pPr>
      <w:tabs>
        <w:tab w:val="left" w:pos="1418"/>
        <w:tab w:val="right" w:leader="underscore" w:pos="9628"/>
      </w:tabs>
      <w:spacing w:before="40"/>
      <w:ind w:left="442" w:firstLine="409"/>
    </w:pPr>
  </w:style>
  <w:style w:type="paragraph" w:styleId="TOC4">
    <w:name w:val="toc 4"/>
    <w:basedOn w:val="Normal"/>
    <w:next w:val="Normal"/>
    <w:autoRedefine/>
    <w:uiPriority w:val="39"/>
    <w:rsid w:val="00EC346F"/>
    <w:pPr>
      <w:ind w:left="660"/>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rsid w:val="00064CA3"/>
    <w:rPr>
      <w:rFonts w:ascii="Verdana" w:hAnsi="Verdana"/>
      <w:b/>
      <w:bCs/>
      <w:i/>
      <w:iCs/>
      <w:sz w:val="26"/>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contextualSpacing/>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contextualSpacing/>
    </w:pPr>
  </w:style>
  <w:style w:type="paragraph" w:customStyle="1" w:styleId="Justifi">
    <w:name w:val="Justifié"/>
    <w:basedOn w:val="Normal"/>
    <w:link w:val="JustifiChar"/>
    <w:autoRedefine/>
    <w:qFormat/>
    <w:rsid w:val="009216B8"/>
  </w:style>
  <w:style w:type="character" w:customStyle="1" w:styleId="JustifiChar">
    <w:name w:val="Justifié Char"/>
    <w:basedOn w:val="DefaultParagraphFont"/>
    <w:link w:val="Justifi"/>
    <w:rsid w:val="009216B8"/>
    <w:rPr>
      <w:rFonts w:ascii="Arial" w:hAnsi="Arial" w:cs="Arial"/>
      <w:sz w:val="22"/>
    </w:rPr>
  </w:style>
  <w:style w:type="paragraph" w:styleId="FootnoteText">
    <w:name w:val="footnote text"/>
    <w:basedOn w:val="Normal"/>
    <w:link w:val="FootnoteTextChar"/>
    <w:uiPriority w:val="99"/>
    <w:semiHidden/>
    <w:unhideWhenUsed/>
    <w:rsid w:val="008D3AF5"/>
    <w:pPr>
      <w:spacing w:before="0" w:after="0"/>
    </w:pPr>
    <w:rPr>
      <w:sz w:val="20"/>
    </w:rPr>
  </w:style>
  <w:style w:type="character" w:customStyle="1" w:styleId="FootnoteTextChar">
    <w:name w:val="Footnote Text Char"/>
    <w:basedOn w:val="DefaultParagraphFont"/>
    <w:link w:val="FootnoteText"/>
    <w:uiPriority w:val="99"/>
    <w:semiHidden/>
    <w:rsid w:val="008D3AF5"/>
    <w:rPr>
      <w:rFonts w:ascii="Arial" w:hAnsi="Arial" w:cs="Arial"/>
    </w:rPr>
  </w:style>
  <w:style w:type="character" w:styleId="FootnoteReference">
    <w:name w:val="footnote reference"/>
    <w:basedOn w:val="DefaultParagraphFont"/>
    <w:uiPriority w:val="99"/>
    <w:semiHidden/>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character" w:customStyle="1" w:styleId="Heading5Char">
    <w:name w:val="Heading 5 Char"/>
    <w:basedOn w:val="DefaultParagraphFont"/>
    <w:link w:val="Heading5"/>
    <w:uiPriority w:val="9"/>
    <w:rsid w:val="00E05786"/>
    <w:rPr>
      <w:rFonts w:asciiTheme="majorHAnsi" w:eastAsiaTheme="majorEastAsia" w:hAnsiTheme="majorHAnsi" w:cstheme="majorBidi"/>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hamedelafrit.com/ept20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www.mohamedelafrit.com/ept204"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C7EF5F198C4527A786A4EB6A2AAB3F"/>
        <w:category>
          <w:name w:val="General"/>
          <w:gallery w:val="placeholder"/>
        </w:category>
        <w:types>
          <w:type w:val="bbPlcHdr"/>
        </w:types>
        <w:behaviors>
          <w:behavior w:val="content"/>
        </w:behaviors>
        <w:guid w:val="{21A80918-FEFF-458B-B776-0A7EE8CC7307}"/>
      </w:docPartPr>
      <w:docPartBody>
        <w:p w:rsidR="00AC5AB1" w:rsidRDefault="00AC5AB1" w:rsidP="00AC5AB1">
          <w:pPr>
            <w:pStyle w:val="EBC7EF5F198C4527A786A4EB6A2AAB3F"/>
          </w:pPr>
          <w:r w:rsidRPr="00BF18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07893"/>
    <w:rsid w:val="00025DCF"/>
    <w:rsid w:val="00051B27"/>
    <w:rsid w:val="000642A7"/>
    <w:rsid w:val="00077570"/>
    <w:rsid w:val="000B7581"/>
    <w:rsid w:val="000E0706"/>
    <w:rsid w:val="001044D9"/>
    <w:rsid w:val="00141BC8"/>
    <w:rsid w:val="001D33C3"/>
    <w:rsid w:val="00200A75"/>
    <w:rsid w:val="00292547"/>
    <w:rsid w:val="00297B44"/>
    <w:rsid w:val="002A3205"/>
    <w:rsid w:val="002F6E8A"/>
    <w:rsid w:val="003168E7"/>
    <w:rsid w:val="00335380"/>
    <w:rsid w:val="00351BA6"/>
    <w:rsid w:val="00407893"/>
    <w:rsid w:val="00422E19"/>
    <w:rsid w:val="00515610"/>
    <w:rsid w:val="0053006E"/>
    <w:rsid w:val="005E6B0B"/>
    <w:rsid w:val="00633A36"/>
    <w:rsid w:val="00642AC6"/>
    <w:rsid w:val="006B718B"/>
    <w:rsid w:val="006F0069"/>
    <w:rsid w:val="00726B40"/>
    <w:rsid w:val="00780600"/>
    <w:rsid w:val="007F7107"/>
    <w:rsid w:val="008C3BD1"/>
    <w:rsid w:val="008D0482"/>
    <w:rsid w:val="009070AB"/>
    <w:rsid w:val="00991EFF"/>
    <w:rsid w:val="00AC5AB1"/>
    <w:rsid w:val="00B55BF9"/>
    <w:rsid w:val="00B71983"/>
    <w:rsid w:val="00CC4C1F"/>
    <w:rsid w:val="00D00FA4"/>
    <w:rsid w:val="00E16C71"/>
    <w:rsid w:val="00E77B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F96995B4214652A3BD6B5F7352DC94">
    <w:name w:val="1FF96995B4214652A3BD6B5F7352DC94"/>
    <w:rsid w:val="00407893"/>
  </w:style>
  <w:style w:type="paragraph" w:customStyle="1" w:styleId="13948BB4E9F54E43A409943098D09F47">
    <w:name w:val="13948BB4E9F54E43A409943098D09F47"/>
    <w:rsid w:val="00407893"/>
  </w:style>
  <w:style w:type="paragraph" w:customStyle="1" w:styleId="CF815A726D6A42A3895AC8F509A5E09C">
    <w:name w:val="CF815A726D6A42A3895AC8F509A5E09C"/>
    <w:rsid w:val="00407893"/>
  </w:style>
  <w:style w:type="paragraph" w:customStyle="1" w:styleId="EC5E95A5442643DAA795CD6A231ED26A">
    <w:name w:val="EC5E95A5442643DAA795CD6A231ED26A"/>
    <w:rsid w:val="00407893"/>
  </w:style>
  <w:style w:type="paragraph" w:customStyle="1" w:styleId="7B03BB02E758476AB60688A7252C3617">
    <w:name w:val="7B03BB02E758476AB60688A7252C3617"/>
    <w:rsid w:val="00407893"/>
  </w:style>
  <w:style w:type="paragraph" w:customStyle="1" w:styleId="EADED91B8C92451EB1C893240AFD65F9">
    <w:name w:val="EADED91B8C92451EB1C893240AFD65F9"/>
    <w:rsid w:val="00407893"/>
  </w:style>
  <w:style w:type="paragraph" w:customStyle="1" w:styleId="662AFA49AB214C8EB63F6B97A5D93AD1">
    <w:name w:val="662AFA49AB214C8EB63F6B97A5D93AD1"/>
    <w:rsid w:val="00407893"/>
  </w:style>
  <w:style w:type="paragraph" w:customStyle="1" w:styleId="F017B71644AB425489FA2B9636F22608">
    <w:name w:val="F017B71644AB425489FA2B9636F22608"/>
    <w:rsid w:val="00407893"/>
  </w:style>
  <w:style w:type="paragraph" w:customStyle="1" w:styleId="9B6257FF10494408B8CA1B72A73D0701">
    <w:name w:val="9B6257FF10494408B8CA1B72A73D0701"/>
    <w:rsid w:val="00407893"/>
  </w:style>
  <w:style w:type="paragraph" w:customStyle="1" w:styleId="AC43F8FAA3464D8EA5864D79D5950016">
    <w:name w:val="AC43F8FAA3464D8EA5864D79D5950016"/>
    <w:rsid w:val="00407893"/>
  </w:style>
  <w:style w:type="paragraph" w:customStyle="1" w:styleId="3B955ADB18484972856450A56DA08E03">
    <w:name w:val="3B955ADB18484972856450A56DA08E03"/>
    <w:rsid w:val="00407893"/>
  </w:style>
  <w:style w:type="paragraph" w:customStyle="1" w:styleId="E06AB08D41024B34B3F90178E3CD9AB4">
    <w:name w:val="E06AB08D41024B34B3F90178E3CD9AB4"/>
    <w:rsid w:val="00407893"/>
  </w:style>
  <w:style w:type="paragraph" w:customStyle="1" w:styleId="BC0719A8765E4FE590C3B4CA070DCFFB">
    <w:name w:val="BC0719A8765E4FE590C3B4CA070DCFFB"/>
    <w:rsid w:val="00407893"/>
  </w:style>
  <w:style w:type="paragraph" w:customStyle="1" w:styleId="5CAA758BC97740D38FCDD4E75B6F0E48">
    <w:name w:val="5CAA758BC97740D38FCDD4E75B6F0E48"/>
    <w:rsid w:val="00407893"/>
  </w:style>
  <w:style w:type="character" w:styleId="PlaceholderText">
    <w:name w:val="Placeholder Text"/>
    <w:basedOn w:val="DefaultParagraphFont"/>
    <w:uiPriority w:val="99"/>
    <w:semiHidden/>
    <w:rsid w:val="00AC5AB1"/>
    <w:rPr>
      <w:color w:val="808080"/>
    </w:rPr>
  </w:style>
  <w:style w:type="paragraph" w:customStyle="1" w:styleId="3E641DDA0F7D47159D8A8E4BD41ED705">
    <w:name w:val="3E641DDA0F7D47159D8A8E4BD41ED705"/>
    <w:rsid w:val="00407893"/>
  </w:style>
  <w:style w:type="paragraph" w:customStyle="1" w:styleId="17C7E8900FB54EEAAF21AB93C129A8B7">
    <w:name w:val="17C7E8900FB54EEAAF21AB93C129A8B7"/>
    <w:rsid w:val="00407893"/>
  </w:style>
  <w:style w:type="paragraph" w:customStyle="1" w:styleId="7ADB58ED4601406EA1DB599EF054B559">
    <w:name w:val="7ADB58ED4601406EA1DB599EF054B559"/>
    <w:rsid w:val="00AC5AB1"/>
  </w:style>
  <w:style w:type="paragraph" w:customStyle="1" w:styleId="EBC7EF5F198C4527A786A4EB6A2AAB3F">
    <w:name w:val="EBC7EF5F198C4527A786A4EB6A2AAB3F"/>
    <w:rsid w:val="00AC5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8AAC6-5A71-4237-9CC9-899FBC2E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2738</TotalTime>
  <Pages>16</Pages>
  <Words>3698</Words>
  <Characters>20343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EPT204 : Analyse du secteur conseil en systèmes et logiciels informatiques (6202A) en France</vt:lpstr>
      <vt:lpstr>EPT204 : Analyse du secteur conseil en systèmes et logiciels informatiques (6202A) en France</vt:lpstr>
    </vt:vector>
  </TitlesOfParts>
  <Company/>
  <LinksUpToDate>false</LinksUpToDate>
  <CharactersWithSpaces>23994</CharactersWithSpaces>
  <SharedDoc>false</SharedDoc>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EPT204 : Analyse du secteur conseil en systèmes et logiciels informatiques (6202A) en France</dc:title>
  <dc:creator>Mohamed Amine EL AFRIT</dc:creator>
  <cp:lastModifiedBy>Mohamed Amine EL AFRIT</cp:lastModifiedBy>
  <cp:revision>150</cp:revision>
  <cp:lastPrinted>2017-03-17T21:06:00Z</cp:lastPrinted>
  <dcterms:created xsi:type="dcterms:W3CDTF">2016-05-10T17:53:00Z</dcterms:created>
  <dcterms:modified xsi:type="dcterms:W3CDTF">2017-03-17T21:06:00Z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Fiche 3 </vt:lpwstr>
  </property>
  <property fmtid="{D5CDD505-2E9C-101B-9397-08002B2CF9AE}" pid="3" name="Titre">
    <vt:lpwstr>Analyse du secteur conseil en systèmes et logiciels informatiques (6202A)</vt:lpwstr>
  </property>
  <property fmtid="{D5CDD505-2E9C-101B-9397-08002B2CF9AE}" pid="4" name="Projet">
    <vt:lpwstr>Analyse de la segmentation stratégique </vt:lpwstr>
  </property>
  <property fmtid="{D5CDD505-2E9C-101B-9397-08002B2CF9AE}" pid="5" name="DateCreation">
    <vt:filetime>2016-05-09T22:00:00Z</vt:filetime>
  </property>
  <property fmtid="{D5CDD505-2E9C-101B-9397-08002B2CF9AE}" pid="6" name="Department">
    <vt:lpwstr>EFAB</vt:lpwstr>
  </property>
  <property fmtid="{D5CDD505-2E9C-101B-9397-08002B2CF9AE}" pid="7" name="Client">
    <vt:lpwstr>CNAM et Université Paris Diderot</vt:lpwstr>
  </property>
  <property fmtid="{D5CDD505-2E9C-101B-9397-08002B2CF9AE}" pid="8" name="Destination">
    <vt:lpwstr>EPT204</vt:lpwstr>
  </property>
</Properties>
</file>